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293" w14:textId="03A37617" w:rsidR="00901950" w:rsidRPr="002017A8" w:rsidRDefault="00901950" w:rsidP="002017A8">
      <w:pPr>
        <w:pStyle w:val="ListParagraph"/>
        <w:widowControl w:val="0"/>
        <w:numPr>
          <w:ilvl w:val="0"/>
          <w:numId w:val="9"/>
        </w:numPr>
        <w:jc w:val="right"/>
        <w:rPr>
          <w:sz w:val="18"/>
          <w:szCs w:val="18"/>
        </w:rPr>
      </w:pPr>
      <w:r w:rsidRPr="002017A8">
        <w:rPr>
          <w:sz w:val="18"/>
          <w:szCs w:val="18"/>
        </w:rPr>
        <w:t>pielikums</w:t>
      </w:r>
    </w:p>
    <w:p w14:paraId="426B430B" w14:textId="20CD17E9" w:rsidR="00901950" w:rsidRPr="002E4228" w:rsidRDefault="002E4228" w:rsidP="007E1001">
      <w:pPr>
        <w:widowControl w:val="0"/>
        <w:jc w:val="center"/>
        <w:rPr>
          <w:b/>
          <w:bCs/>
          <w:szCs w:val="22"/>
        </w:rPr>
      </w:pPr>
      <w:r>
        <w:rPr>
          <w:b/>
          <w:bCs/>
          <w:szCs w:val="22"/>
        </w:rPr>
        <w:t>TEHNISKAIS PIEDĀVĀJUMS</w:t>
      </w:r>
    </w:p>
    <w:p w14:paraId="2F7C169D" w14:textId="253EACA2" w:rsidR="00F1070D" w:rsidRPr="002E4228" w:rsidRDefault="00547B28" w:rsidP="007E1001">
      <w:pPr>
        <w:widowControl w:val="0"/>
        <w:spacing w:after="120"/>
        <w:jc w:val="center"/>
        <w:rPr>
          <w:i/>
          <w:iCs/>
          <w:szCs w:val="22"/>
        </w:rPr>
      </w:pPr>
      <w:r w:rsidRPr="002E4228">
        <w:rPr>
          <w:i/>
          <w:iCs/>
          <w:szCs w:val="22"/>
        </w:rPr>
        <w:t>Ziemas</w:t>
      </w:r>
      <w:r w:rsidR="00F1070D" w:rsidRPr="002E4228">
        <w:rPr>
          <w:i/>
          <w:iCs/>
          <w:szCs w:val="22"/>
        </w:rPr>
        <w:t xml:space="preserve"> darba </w:t>
      </w:r>
      <w:r w:rsidR="00380DCD" w:rsidRPr="002E4228">
        <w:rPr>
          <w:i/>
          <w:iCs/>
          <w:szCs w:val="22"/>
        </w:rPr>
        <w:t xml:space="preserve">jaka </w:t>
      </w:r>
      <w:r w:rsidR="00F1070D" w:rsidRPr="002E4228">
        <w:rPr>
          <w:i/>
          <w:iCs/>
          <w:szCs w:val="22"/>
        </w:rPr>
        <w:t>aizsardzībai pret elektriskā loka iedarbību</w:t>
      </w:r>
    </w:p>
    <w:tbl>
      <w:tblPr>
        <w:tblW w:w="0" w:type="auto"/>
        <w:tblLook w:val="04A0" w:firstRow="1" w:lastRow="0" w:firstColumn="1" w:lastColumn="0" w:noHBand="0" w:noVBand="1"/>
      </w:tblPr>
      <w:tblGrid>
        <w:gridCol w:w="528"/>
        <w:gridCol w:w="10098"/>
        <w:gridCol w:w="2434"/>
        <w:gridCol w:w="1840"/>
      </w:tblGrid>
      <w:tr w:rsidR="00DB5B06" w:rsidRPr="00CF619A" w14:paraId="50E80C7B" w14:textId="77777777" w:rsidTr="007E1001">
        <w:trPr>
          <w:cantSplit/>
          <w:trHeight w:val="761"/>
          <w:tblHead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C4F97" w14:textId="63935772" w:rsidR="00DB5B06" w:rsidRPr="00CF619A" w:rsidRDefault="00DB5B06" w:rsidP="007E1001">
            <w:pPr>
              <w:contextualSpacing/>
              <w:jc w:val="center"/>
              <w:rPr>
                <w:rFonts w:eastAsiaTheme="minorHAnsi"/>
                <w:b/>
                <w:bCs/>
                <w:noProof/>
                <w:szCs w:val="22"/>
                <w:lang w:eastAsia="lv-LV"/>
              </w:rPr>
            </w:pPr>
            <w:r w:rsidRPr="00CF619A">
              <w:rPr>
                <w:rFonts w:eastAsiaTheme="minorHAnsi"/>
                <w:b/>
                <w:bCs/>
                <w:noProof/>
                <w:szCs w:val="22"/>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06236E" w14:textId="6422B10E" w:rsidR="00DB5B06" w:rsidRPr="00CF619A" w:rsidRDefault="00DB5B06" w:rsidP="007E1001">
            <w:pPr>
              <w:jc w:val="center"/>
              <w:rPr>
                <w:b/>
                <w:bCs/>
                <w:szCs w:val="22"/>
                <w:lang w:eastAsia="lv-LV"/>
              </w:rPr>
            </w:pPr>
            <w:r w:rsidRPr="00CF619A">
              <w:rPr>
                <w:b/>
                <w:bCs/>
                <w:szCs w:val="22"/>
                <w:lang w:eastAsia="lv-LV"/>
              </w:rPr>
              <w:t>Apraksts</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8A090E" w14:textId="615B3445" w:rsidR="00DB5B06" w:rsidRPr="00CF619A" w:rsidRDefault="00DB5B06" w:rsidP="007E1001">
            <w:pPr>
              <w:jc w:val="center"/>
              <w:rPr>
                <w:b/>
                <w:bCs/>
                <w:szCs w:val="22"/>
                <w:lang w:eastAsia="lv-LV"/>
              </w:rPr>
            </w:pPr>
            <w:r w:rsidRPr="00CF619A">
              <w:rPr>
                <w:b/>
                <w:bCs/>
                <w:szCs w:val="22"/>
                <w:lang w:eastAsia="lv-LV"/>
              </w:rPr>
              <w:t>Minimālā tehniskā prasība</w:t>
            </w:r>
            <w:r w:rsidRPr="00CF619A">
              <w:rPr>
                <w:rStyle w:val="FootnoteReference"/>
                <w:b/>
                <w:lang w:eastAsia="lv-LV"/>
              </w:rPr>
              <w:footnoteReference w:id="2"/>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8A2C9C" w14:textId="672171E7" w:rsidR="00DB5B06" w:rsidRPr="00CF619A" w:rsidRDefault="00DB5B06" w:rsidP="007E1001">
            <w:pPr>
              <w:jc w:val="center"/>
              <w:rPr>
                <w:b/>
                <w:bCs/>
                <w:szCs w:val="22"/>
                <w:lang w:eastAsia="lv-LV"/>
              </w:rPr>
            </w:pPr>
            <w:r w:rsidRPr="00CF619A">
              <w:rPr>
                <w:b/>
                <w:bCs/>
                <w:szCs w:val="22"/>
                <w:lang w:eastAsia="lv-LV"/>
              </w:rPr>
              <w:t>Piedāvātās preces tehniskais apraksts</w:t>
            </w:r>
          </w:p>
        </w:tc>
      </w:tr>
      <w:tr w:rsidR="00DB5B06" w:rsidRPr="00CF619A" w14:paraId="56D61D28" w14:textId="77777777" w:rsidTr="008B0C44">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33B35B" w14:textId="6E7C8243" w:rsidR="00DB5B06" w:rsidRPr="00CF619A" w:rsidRDefault="00DB5B06" w:rsidP="007E1001">
            <w:pPr>
              <w:contextualSpacing/>
              <w:rPr>
                <w:rFonts w:eastAsiaTheme="minorHAnsi"/>
                <w:b/>
                <w:bCs/>
                <w:noProof/>
                <w:szCs w:val="22"/>
                <w:lang w:eastAsia="lv-LV"/>
              </w:rPr>
            </w:pPr>
            <w:r w:rsidRPr="00CF619A">
              <w:rPr>
                <w:rFonts w:eastAsiaTheme="minorHAnsi"/>
                <w:b/>
                <w:bCs/>
                <w:noProof/>
                <w:szCs w:val="22"/>
                <w:lang w:eastAsia="lv-LV"/>
              </w:rPr>
              <w:t>Obligātās prasības</w:t>
            </w:r>
            <w:r w:rsidRPr="00A733C9">
              <w:rPr>
                <w:i/>
                <w:iCs/>
                <w:lang w:eastAsia="lv-LV"/>
              </w:rPr>
              <w:t>(</w:t>
            </w:r>
            <w:r w:rsidRPr="003D6EDE">
              <w:rPr>
                <w:i/>
                <w:iCs/>
                <w:lang w:eastAsia="lv-LV"/>
              </w:rPr>
              <w:t>pretendents var iesniegt ne vairāk kā divus piedāvājumu variantus, kas vislabāk atbilst norādītajām prasībām; piedāvājumu variantu gadījumā par katru variantu aizpilda visu zemāk prasīto informāciju)</w:t>
            </w: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tcPr>
          <w:p w14:paraId="6774A0BE" w14:textId="77777777" w:rsidR="00DB5B06" w:rsidRPr="00CF619A" w:rsidRDefault="00DB5B06" w:rsidP="007E1001">
            <w:pPr>
              <w:jc w:val="center"/>
              <w:rPr>
                <w:b/>
                <w:bCs/>
                <w:szCs w:val="22"/>
                <w:lang w:eastAsia="lv-LV"/>
              </w:rPr>
            </w:pPr>
          </w:p>
        </w:tc>
      </w:tr>
      <w:tr w:rsidR="00DB5B06" w:rsidRPr="00CF619A" w14:paraId="0D2F50FA" w14:textId="77777777" w:rsidTr="00486A3D">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6F297AEB" w14:textId="3E9DF1FB" w:rsidR="00DB5B06" w:rsidRPr="00CF619A" w:rsidRDefault="00DB5B06" w:rsidP="007E1001">
            <w:pPr>
              <w:contextualSpacing/>
              <w:rPr>
                <w:rFonts w:eastAsiaTheme="minorHAnsi"/>
                <w:noProof/>
                <w:szCs w:val="22"/>
                <w:lang w:eastAsia="lv-LV"/>
              </w:rPr>
            </w:pPr>
            <w:r w:rsidRPr="00CF619A">
              <w:rPr>
                <w:rFonts w:eastAsiaTheme="minorHAnsi"/>
                <w:b/>
                <w:bCs/>
                <w:noProof/>
                <w:szCs w:val="22"/>
                <w:lang w:eastAsia="lv-LV"/>
              </w:rPr>
              <w:t>Vispārīgā informācija</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255D7F16" w14:textId="77777777" w:rsidR="00DB5B06" w:rsidRPr="00CF619A" w:rsidRDefault="00DB5B06" w:rsidP="007E1001">
            <w:pPr>
              <w:jc w:val="center"/>
              <w:rPr>
                <w:szCs w:val="22"/>
                <w:lang w:eastAsia="lv-LV"/>
              </w:rPr>
            </w:pPr>
          </w:p>
        </w:tc>
      </w:tr>
      <w:tr w:rsidR="00DB5B06" w:rsidRPr="00CF619A" w14:paraId="6CBB20E6" w14:textId="77777777" w:rsidTr="00F1070D">
        <w:trPr>
          <w:cantSplit/>
        </w:trPr>
        <w:tc>
          <w:tcPr>
            <w:tcW w:w="0" w:type="auto"/>
            <w:tcBorders>
              <w:top w:val="nil"/>
              <w:left w:val="single" w:sz="4" w:space="0" w:color="auto"/>
              <w:bottom w:val="single" w:sz="4" w:space="0" w:color="auto"/>
              <w:right w:val="single" w:sz="4" w:space="0" w:color="auto"/>
            </w:tcBorders>
          </w:tcPr>
          <w:p w14:paraId="6B424D53"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hideMark/>
          </w:tcPr>
          <w:p w14:paraId="699D666E" w14:textId="11351835" w:rsidR="00DB5B06" w:rsidRPr="00280D78" w:rsidRDefault="00DB5B06" w:rsidP="007E1001">
            <w:pPr>
              <w:rPr>
                <w:szCs w:val="22"/>
                <w:lang w:eastAsia="lv-LV"/>
              </w:rPr>
            </w:pPr>
            <w:r w:rsidRPr="00280D78">
              <w:rPr>
                <w:szCs w:val="22"/>
                <w:lang w:eastAsia="lv-LV"/>
              </w:rPr>
              <w:t>Ražotāja nosaukums</w:t>
            </w:r>
          </w:p>
        </w:tc>
        <w:tc>
          <w:tcPr>
            <w:tcW w:w="0" w:type="auto"/>
            <w:tcBorders>
              <w:top w:val="nil"/>
              <w:left w:val="nil"/>
              <w:bottom w:val="single" w:sz="4" w:space="0" w:color="auto"/>
              <w:right w:val="single" w:sz="4" w:space="0" w:color="auto"/>
            </w:tcBorders>
            <w:shd w:val="clear" w:color="auto" w:fill="auto"/>
            <w:hideMark/>
          </w:tcPr>
          <w:p w14:paraId="566F7EC6" w14:textId="0D0B50C1" w:rsidR="00DB5B06" w:rsidRPr="00CF619A" w:rsidRDefault="00DB5B06" w:rsidP="007E1001">
            <w:pPr>
              <w:jc w:val="center"/>
              <w:rPr>
                <w:szCs w:val="22"/>
                <w:lang w:eastAsia="lv-LV"/>
              </w:rPr>
            </w:pPr>
            <w:r w:rsidRPr="00CF619A">
              <w:rPr>
                <w:szCs w:val="22"/>
                <w:lang w:eastAsia="lv-LV"/>
              </w:rPr>
              <w:t>Norādīt informāciju</w:t>
            </w:r>
          </w:p>
        </w:tc>
        <w:tc>
          <w:tcPr>
            <w:tcW w:w="0" w:type="auto"/>
            <w:tcBorders>
              <w:top w:val="nil"/>
              <w:left w:val="nil"/>
              <w:bottom w:val="single" w:sz="4" w:space="0" w:color="auto"/>
              <w:right w:val="single" w:sz="4" w:space="0" w:color="auto"/>
            </w:tcBorders>
            <w:shd w:val="clear" w:color="000000" w:fill="FFFFFF"/>
          </w:tcPr>
          <w:p w14:paraId="0E5F5297" w14:textId="77777777" w:rsidR="00DB5B06" w:rsidRPr="00CF619A" w:rsidRDefault="00DB5B06" w:rsidP="007E1001">
            <w:pPr>
              <w:jc w:val="center"/>
              <w:rPr>
                <w:szCs w:val="22"/>
                <w:lang w:eastAsia="lv-LV"/>
              </w:rPr>
            </w:pPr>
          </w:p>
        </w:tc>
      </w:tr>
      <w:tr w:rsidR="00DB5B06" w:rsidRPr="00CF619A" w14:paraId="06AA8703" w14:textId="77777777" w:rsidTr="00F1070D">
        <w:trPr>
          <w:cantSplit/>
        </w:trPr>
        <w:tc>
          <w:tcPr>
            <w:tcW w:w="0" w:type="auto"/>
            <w:tcBorders>
              <w:top w:val="nil"/>
              <w:left w:val="single" w:sz="4" w:space="0" w:color="auto"/>
              <w:bottom w:val="single" w:sz="4" w:space="0" w:color="auto"/>
              <w:right w:val="single" w:sz="4" w:space="0" w:color="auto"/>
            </w:tcBorders>
          </w:tcPr>
          <w:p w14:paraId="61E9FC1B"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8798F04" w14:textId="4E7EF954" w:rsidR="00DB5B06" w:rsidRPr="00280D78" w:rsidRDefault="00DB5B06" w:rsidP="007E1001">
            <w:pPr>
              <w:rPr>
                <w:szCs w:val="22"/>
              </w:rPr>
            </w:pPr>
            <w:r w:rsidRPr="00280D78">
              <w:rPr>
                <w:szCs w:val="22"/>
              </w:rPr>
              <w:t>Ziemas darba jaka aizsardzībai pret elektriskā loka iedarbību (turpmāk tekstā – prece)</w:t>
            </w:r>
          </w:p>
        </w:tc>
        <w:tc>
          <w:tcPr>
            <w:tcW w:w="0" w:type="auto"/>
            <w:tcBorders>
              <w:top w:val="nil"/>
              <w:left w:val="nil"/>
              <w:bottom w:val="single" w:sz="4" w:space="0" w:color="auto"/>
              <w:right w:val="single" w:sz="4" w:space="0" w:color="auto"/>
            </w:tcBorders>
            <w:shd w:val="clear" w:color="auto" w:fill="auto"/>
          </w:tcPr>
          <w:p w14:paraId="1A708C49" w14:textId="6E5B0AB3" w:rsidR="00DB5B06" w:rsidRPr="00CF619A" w:rsidRDefault="00DB5B06" w:rsidP="007E1001">
            <w:pPr>
              <w:jc w:val="center"/>
              <w:rPr>
                <w:szCs w:val="22"/>
                <w:lang w:eastAsia="lv-LV"/>
              </w:rPr>
            </w:pPr>
            <w:r w:rsidRPr="00CF619A">
              <w:rPr>
                <w:szCs w:val="22"/>
                <w:lang w:eastAsia="lv-LV"/>
              </w:rPr>
              <w:t>Tipa apzīmējums</w:t>
            </w:r>
            <w:r w:rsidRPr="00CF619A">
              <w:rPr>
                <w:szCs w:val="22"/>
                <w:vertAlign w:val="superscript"/>
              </w:rPr>
              <w:footnoteReference w:id="3"/>
            </w:r>
          </w:p>
        </w:tc>
        <w:tc>
          <w:tcPr>
            <w:tcW w:w="0" w:type="auto"/>
            <w:tcBorders>
              <w:top w:val="nil"/>
              <w:left w:val="nil"/>
              <w:bottom w:val="single" w:sz="4" w:space="0" w:color="auto"/>
              <w:right w:val="single" w:sz="4" w:space="0" w:color="auto"/>
            </w:tcBorders>
            <w:shd w:val="clear" w:color="auto" w:fill="auto"/>
          </w:tcPr>
          <w:p w14:paraId="6AC27B59" w14:textId="77777777" w:rsidR="00DB5B06" w:rsidRPr="00CF619A" w:rsidRDefault="00DB5B06" w:rsidP="007E1001">
            <w:pPr>
              <w:jc w:val="center"/>
              <w:rPr>
                <w:szCs w:val="22"/>
                <w:lang w:eastAsia="lv-LV"/>
              </w:rPr>
            </w:pPr>
          </w:p>
        </w:tc>
      </w:tr>
      <w:tr w:rsidR="00DB5B06" w:rsidRPr="00CF619A" w14:paraId="09D275DF"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145915D"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nil"/>
              <w:bottom w:val="single" w:sz="4" w:space="0" w:color="auto"/>
              <w:right w:val="single" w:sz="4" w:space="0" w:color="auto"/>
            </w:tcBorders>
            <w:shd w:val="clear" w:color="auto" w:fill="auto"/>
          </w:tcPr>
          <w:p w14:paraId="04E6713C" w14:textId="6FEBE9E7" w:rsidR="00DB5B06" w:rsidRPr="00280D78" w:rsidRDefault="00DB5B06" w:rsidP="007E1001">
            <w:pPr>
              <w:rPr>
                <w:szCs w:val="22"/>
                <w:lang w:eastAsia="lv-LV"/>
              </w:rPr>
            </w:pPr>
            <w:r w:rsidRPr="00280D78">
              <w:rPr>
                <w:szCs w:val="22"/>
                <w:lang w:eastAsia="lv-LV"/>
              </w:rPr>
              <w:t>Pēc pieprasījuma tehniskai izvērtēšanai iesniegts jebkura nomināla vismaz viens paraugs</w:t>
            </w:r>
            <w:r w:rsidRPr="00280D78">
              <w:rPr>
                <w:rStyle w:val="FootnoteReference"/>
                <w:szCs w:val="22"/>
              </w:rPr>
              <w:footnoteReference w:id="4"/>
            </w:r>
          </w:p>
        </w:tc>
        <w:tc>
          <w:tcPr>
            <w:tcW w:w="0" w:type="auto"/>
            <w:tcBorders>
              <w:top w:val="nil"/>
              <w:left w:val="nil"/>
              <w:bottom w:val="single" w:sz="4" w:space="0" w:color="auto"/>
              <w:right w:val="single" w:sz="4" w:space="0" w:color="auto"/>
            </w:tcBorders>
            <w:shd w:val="clear" w:color="auto" w:fill="auto"/>
          </w:tcPr>
          <w:p w14:paraId="1792B31C" w14:textId="3CD9A59C" w:rsidR="00DB5B06" w:rsidRPr="00CF619A" w:rsidRDefault="00DB5B06" w:rsidP="007E1001">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71EE085E" w14:textId="77777777" w:rsidR="00DB5B06" w:rsidRPr="00CF619A" w:rsidRDefault="00DB5B06" w:rsidP="007E1001">
            <w:pPr>
              <w:jc w:val="center"/>
              <w:rPr>
                <w:szCs w:val="22"/>
                <w:lang w:eastAsia="lv-LV"/>
              </w:rPr>
            </w:pPr>
          </w:p>
        </w:tc>
      </w:tr>
      <w:tr w:rsidR="00DB5B06" w:rsidRPr="00CF619A" w14:paraId="06C4F069"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0092BF"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hideMark/>
          </w:tcPr>
          <w:p w14:paraId="330AA612" w14:textId="324FE49C" w:rsidR="00DB5B06" w:rsidRPr="00280D78" w:rsidRDefault="00DB5B06" w:rsidP="007E1001">
            <w:pPr>
              <w:rPr>
                <w:szCs w:val="22"/>
              </w:rPr>
            </w:pPr>
            <w:r w:rsidRPr="00280D78">
              <w:rPr>
                <w:szCs w:val="22"/>
              </w:rPr>
              <w:t>Parauga piegāde tehniskajai izvērtēšanai piedāvājuma iesniegšanas dienā vai tā piegādes termiņš no piedāvājuma iesniegšanas dienas, darba dienas (norādīt konkrētu vērtību)</w:t>
            </w:r>
            <w:r w:rsidRPr="00280D78">
              <w:rPr>
                <w:rStyle w:val="FootnoteReference"/>
                <w:szCs w:val="22"/>
              </w:rPr>
              <w:footnoteReference w:id="5"/>
            </w:r>
          </w:p>
          <w:p w14:paraId="3A91BD9B" w14:textId="77777777" w:rsidR="00DB5B06" w:rsidRPr="00280D78" w:rsidRDefault="00DB5B06" w:rsidP="007E1001">
            <w:pPr>
              <w:rPr>
                <w:szCs w:val="22"/>
                <w:lang w:eastAsia="lv-LV"/>
              </w:rPr>
            </w:pPr>
          </w:p>
        </w:tc>
        <w:tc>
          <w:tcPr>
            <w:tcW w:w="0" w:type="auto"/>
            <w:tcBorders>
              <w:top w:val="nil"/>
              <w:left w:val="nil"/>
              <w:bottom w:val="single" w:sz="4" w:space="0" w:color="auto"/>
              <w:right w:val="single" w:sz="4" w:space="0" w:color="auto"/>
            </w:tcBorders>
            <w:shd w:val="clear" w:color="000000" w:fill="FFFFFF"/>
            <w:hideMark/>
          </w:tcPr>
          <w:p w14:paraId="6A52CA04" w14:textId="4389C1C8" w:rsidR="00DB5B06" w:rsidRPr="00CF619A" w:rsidRDefault="00DB5B06" w:rsidP="007E1001">
            <w:pPr>
              <w:jc w:val="center"/>
              <w:rPr>
                <w:szCs w:val="22"/>
              </w:rPr>
            </w:pPr>
            <w:r>
              <w:rPr>
                <w:szCs w:val="22"/>
              </w:rPr>
              <w:t>n</w:t>
            </w:r>
            <w:r w:rsidRPr="00CF619A">
              <w:rPr>
                <w:szCs w:val="22"/>
              </w:rPr>
              <w:t>e vairāk kā 3 darba dienas</w:t>
            </w:r>
            <w:r>
              <w:rPr>
                <w:szCs w:val="22"/>
              </w:rPr>
              <w:t xml:space="preserve"> </w:t>
            </w:r>
            <w:r w:rsidRPr="00CF619A">
              <w:rPr>
                <w:szCs w:val="22"/>
              </w:rPr>
              <w:t>(norādīt)</w:t>
            </w:r>
          </w:p>
        </w:tc>
        <w:tc>
          <w:tcPr>
            <w:tcW w:w="0" w:type="auto"/>
            <w:tcBorders>
              <w:top w:val="nil"/>
              <w:left w:val="nil"/>
              <w:bottom w:val="single" w:sz="4" w:space="0" w:color="auto"/>
              <w:right w:val="single" w:sz="4" w:space="0" w:color="auto"/>
            </w:tcBorders>
            <w:shd w:val="clear" w:color="auto" w:fill="auto"/>
          </w:tcPr>
          <w:p w14:paraId="051CF9A3" w14:textId="77777777" w:rsidR="00DB5B06" w:rsidRPr="00CF619A" w:rsidRDefault="00DB5B06" w:rsidP="007E1001">
            <w:pPr>
              <w:jc w:val="center"/>
              <w:rPr>
                <w:szCs w:val="22"/>
                <w:lang w:eastAsia="lv-LV"/>
              </w:rPr>
            </w:pPr>
          </w:p>
        </w:tc>
      </w:tr>
      <w:tr w:rsidR="00DB5B06" w:rsidRPr="00CF619A" w14:paraId="605537FB"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C47A3E4"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7367410F" w14:textId="33D0CBA2" w:rsidR="00DB5B06" w:rsidRPr="00280D78" w:rsidRDefault="00DB5B06" w:rsidP="007E1001">
            <w:pPr>
              <w:rPr>
                <w:szCs w:val="22"/>
                <w:lang w:eastAsia="lv-LV"/>
              </w:rPr>
            </w:pPr>
            <w:r w:rsidRPr="00280D78">
              <w:rPr>
                <w:szCs w:val="22"/>
                <w:lang w:eastAsia="lv-LV"/>
              </w:rPr>
              <w:t xml:space="preserve">Maksimālais garantētais preces piegādes laiks pēc pasūtījuma saskaņošanas,  kalendārās dienas </w:t>
            </w:r>
            <w:r w:rsidRPr="00280D78">
              <w:rPr>
                <w:szCs w:val="22"/>
              </w:rPr>
              <w:t>(norādīt konkrētu vērtību)</w:t>
            </w:r>
          </w:p>
        </w:tc>
        <w:tc>
          <w:tcPr>
            <w:tcW w:w="0" w:type="auto"/>
            <w:tcBorders>
              <w:top w:val="nil"/>
              <w:left w:val="nil"/>
              <w:bottom w:val="single" w:sz="4" w:space="0" w:color="auto"/>
              <w:right w:val="single" w:sz="4" w:space="0" w:color="auto"/>
            </w:tcBorders>
            <w:shd w:val="clear" w:color="000000" w:fill="FFFFFF"/>
          </w:tcPr>
          <w:p w14:paraId="5B37D77B" w14:textId="0AE65ACB" w:rsidR="00DB5B06" w:rsidRPr="00CF619A" w:rsidRDefault="00DB5B06" w:rsidP="007E1001">
            <w:pPr>
              <w:jc w:val="center"/>
              <w:rPr>
                <w:szCs w:val="22"/>
                <w:lang w:eastAsia="lv-LV"/>
              </w:rPr>
            </w:pPr>
            <w:r w:rsidRPr="00CF619A">
              <w:rPr>
                <w:szCs w:val="22"/>
                <w:lang w:eastAsia="lv-LV"/>
              </w:rPr>
              <w:t>Ne vairāk kā 14 dienas</w:t>
            </w:r>
          </w:p>
        </w:tc>
        <w:tc>
          <w:tcPr>
            <w:tcW w:w="0" w:type="auto"/>
            <w:tcBorders>
              <w:top w:val="nil"/>
              <w:left w:val="nil"/>
              <w:bottom w:val="single" w:sz="4" w:space="0" w:color="auto"/>
              <w:right w:val="single" w:sz="4" w:space="0" w:color="auto"/>
            </w:tcBorders>
            <w:shd w:val="clear" w:color="auto" w:fill="auto"/>
          </w:tcPr>
          <w:p w14:paraId="08526D6B" w14:textId="77777777" w:rsidR="00DB5B06" w:rsidRPr="00CF619A" w:rsidRDefault="00DB5B06" w:rsidP="007E1001">
            <w:pPr>
              <w:jc w:val="center"/>
              <w:rPr>
                <w:szCs w:val="22"/>
                <w:lang w:eastAsia="lv-LV"/>
              </w:rPr>
            </w:pPr>
          </w:p>
        </w:tc>
      </w:tr>
      <w:tr w:rsidR="00DB5B06" w:rsidRPr="00CF619A" w14:paraId="12F0339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05185CE"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1286FFB6" w14:textId="02065936" w:rsidR="00DB5B06" w:rsidRPr="00280D78" w:rsidRDefault="00DB5B06" w:rsidP="007E1001">
            <w:pPr>
              <w:rPr>
                <w:szCs w:val="22"/>
                <w:lang w:eastAsia="lv-LV"/>
              </w:rPr>
            </w:pPr>
            <w:r w:rsidRPr="00280D78">
              <w:rPr>
                <w:szCs w:val="22"/>
                <w:lang w:eastAsia="lv-LV"/>
              </w:rPr>
              <w:t>Preces garantijas termiņš pēc tās piegādes (mēneši)</w:t>
            </w:r>
          </w:p>
        </w:tc>
        <w:tc>
          <w:tcPr>
            <w:tcW w:w="0" w:type="auto"/>
            <w:tcBorders>
              <w:top w:val="nil"/>
              <w:left w:val="nil"/>
              <w:bottom w:val="single" w:sz="4" w:space="0" w:color="auto"/>
              <w:right w:val="single" w:sz="4" w:space="0" w:color="auto"/>
            </w:tcBorders>
            <w:shd w:val="clear" w:color="000000" w:fill="FFFFFF"/>
          </w:tcPr>
          <w:p w14:paraId="600CB4B8" w14:textId="6511D26C" w:rsidR="00DB5B06" w:rsidRPr="00CF619A" w:rsidRDefault="00DB5B06" w:rsidP="007E1001">
            <w:pPr>
              <w:jc w:val="center"/>
              <w:rPr>
                <w:szCs w:val="22"/>
                <w:lang w:eastAsia="lv-LV"/>
              </w:rPr>
            </w:pPr>
            <w:r w:rsidRPr="00CF619A">
              <w:rPr>
                <w:szCs w:val="22"/>
                <w:lang w:eastAsia="lv-LV"/>
              </w:rPr>
              <w:t>vismaz 12</w:t>
            </w:r>
          </w:p>
        </w:tc>
        <w:tc>
          <w:tcPr>
            <w:tcW w:w="0" w:type="auto"/>
            <w:tcBorders>
              <w:top w:val="nil"/>
              <w:left w:val="nil"/>
              <w:bottom w:val="single" w:sz="4" w:space="0" w:color="auto"/>
              <w:right w:val="single" w:sz="4" w:space="0" w:color="auto"/>
            </w:tcBorders>
            <w:shd w:val="clear" w:color="auto" w:fill="auto"/>
          </w:tcPr>
          <w:p w14:paraId="627DDB3F" w14:textId="77777777" w:rsidR="00DB5B06" w:rsidRPr="00CF619A" w:rsidRDefault="00DB5B06" w:rsidP="007E1001">
            <w:pPr>
              <w:jc w:val="center"/>
              <w:rPr>
                <w:szCs w:val="22"/>
                <w:lang w:eastAsia="lv-LV"/>
              </w:rPr>
            </w:pPr>
          </w:p>
        </w:tc>
      </w:tr>
      <w:tr w:rsidR="00DB5B06" w:rsidRPr="00CF619A" w14:paraId="0360804A"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752DA3"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C64BB08" w14:textId="1ADDA5BA" w:rsidR="00DB5B06" w:rsidRPr="00280D78" w:rsidRDefault="00DB5B06" w:rsidP="007E1001">
            <w:pPr>
              <w:rPr>
                <w:szCs w:val="22"/>
                <w:lang w:eastAsia="lv-LV"/>
              </w:rPr>
            </w:pPr>
            <w:r w:rsidRPr="00280D78">
              <w:rPr>
                <w:szCs w:val="22"/>
                <w:lang w:eastAsia="lv-LV"/>
              </w:rPr>
              <w:t xml:space="preserve">Prognozētais apjoms līguma darbības laikā </w:t>
            </w:r>
            <w:r w:rsidRPr="00280D78">
              <w:rPr>
                <w:rStyle w:val="FootnoteReference"/>
                <w:szCs w:val="22"/>
                <w:lang w:eastAsia="lv-LV"/>
              </w:rPr>
              <w:footnoteReference w:id="6"/>
            </w:r>
          </w:p>
        </w:tc>
        <w:tc>
          <w:tcPr>
            <w:tcW w:w="0" w:type="auto"/>
            <w:tcBorders>
              <w:top w:val="nil"/>
              <w:left w:val="nil"/>
              <w:bottom w:val="single" w:sz="4" w:space="0" w:color="auto"/>
              <w:right w:val="single" w:sz="4" w:space="0" w:color="auto"/>
            </w:tcBorders>
            <w:shd w:val="clear" w:color="000000" w:fill="FFFFFF"/>
          </w:tcPr>
          <w:p w14:paraId="2F67DC34" w14:textId="04A0E37E" w:rsidR="00DB5B06" w:rsidRPr="00CF619A" w:rsidRDefault="00CB7CA8" w:rsidP="007E1001">
            <w:pPr>
              <w:jc w:val="center"/>
              <w:rPr>
                <w:szCs w:val="22"/>
                <w:lang w:eastAsia="lv-LV"/>
              </w:rPr>
            </w:pPr>
            <w:r>
              <w:rPr>
                <w:szCs w:val="22"/>
                <w:lang w:eastAsia="lv-LV"/>
              </w:rPr>
              <w:t>130</w:t>
            </w:r>
          </w:p>
        </w:tc>
        <w:tc>
          <w:tcPr>
            <w:tcW w:w="0" w:type="auto"/>
            <w:tcBorders>
              <w:top w:val="nil"/>
              <w:left w:val="nil"/>
              <w:bottom w:val="single" w:sz="4" w:space="0" w:color="auto"/>
              <w:right w:val="single" w:sz="4" w:space="0" w:color="auto"/>
            </w:tcBorders>
            <w:shd w:val="clear" w:color="auto" w:fill="auto"/>
          </w:tcPr>
          <w:p w14:paraId="3E777681" w14:textId="77777777" w:rsidR="00DB5B06" w:rsidRPr="00CF619A" w:rsidRDefault="00DB5B06" w:rsidP="007E1001">
            <w:pPr>
              <w:jc w:val="center"/>
              <w:rPr>
                <w:szCs w:val="22"/>
                <w:lang w:eastAsia="lv-LV"/>
              </w:rPr>
            </w:pPr>
          </w:p>
        </w:tc>
      </w:tr>
      <w:tr w:rsidR="00DB5B06" w:rsidRPr="00CF619A" w14:paraId="36FB4E91" w14:textId="77777777" w:rsidTr="00796AE0">
        <w:trPr>
          <w:cantSplit/>
          <w:trHeight w:val="305"/>
        </w:trPr>
        <w:tc>
          <w:tcPr>
            <w:tcW w:w="0" w:type="auto"/>
            <w:tcBorders>
              <w:top w:val="nil"/>
              <w:left w:val="single" w:sz="4" w:space="0" w:color="auto"/>
              <w:bottom w:val="single" w:sz="4" w:space="0" w:color="auto"/>
              <w:right w:val="single" w:sz="4" w:space="0" w:color="auto"/>
            </w:tcBorders>
            <w:shd w:val="clear" w:color="000000" w:fill="FFFFFF"/>
          </w:tcPr>
          <w:p w14:paraId="36017988"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71A01831" w14:textId="56B4CE24" w:rsidR="00DB5B06" w:rsidRPr="00280D78" w:rsidRDefault="00DB5B06" w:rsidP="007E1001">
            <w:pPr>
              <w:rPr>
                <w:szCs w:val="22"/>
                <w:lang w:eastAsia="lv-LV"/>
              </w:rPr>
            </w:pPr>
            <w:r w:rsidRPr="00280D78">
              <w:rPr>
                <w:szCs w:val="22"/>
                <w:lang w:eastAsia="lv-LV"/>
              </w:rPr>
              <w:t>Norādīt informāciju par apjomu, kuru var piegādāt 14 dienu laikā</w:t>
            </w:r>
          </w:p>
        </w:tc>
        <w:tc>
          <w:tcPr>
            <w:tcW w:w="0" w:type="auto"/>
            <w:tcBorders>
              <w:top w:val="nil"/>
              <w:left w:val="nil"/>
              <w:bottom w:val="single" w:sz="4" w:space="0" w:color="auto"/>
              <w:right w:val="single" w:sz="4" w:space="0" w:color="auto"/>
            </w:tcBorders>
            <w:shd w:val="clear" w:color="000000" w:fill="FFFFFF"/>
          </w:tcPr>
          <w:p w14:paraId="25CCFC13" w14:textId="30175C56" w:rsidR="00DB5B06" w:rsidRPr="00CF619A" w:rsidRDefault="00DB5B06" w:rsidP="007E1001">
            <w:pPr>
              <w:jc w:val="center"/>
              <w:rPr>
                <w:szCs w:val="22"/>
                <w:lang w:eastAsia="lv-LV"/>
              </w:rPr>
            </w:pPr>
            <w:r w:rsidRPr="00CF619A">
              <w:rPr>
                <w:szCs w:val="22"/>
                <w:lang w:eastAsia="lv-LV"/>
              </w:rPr>
              <w:t>Norādīt daudzumu</w:t>
            </w:r>
          </w:p>
        </w:tc>
        <w:tc>
          <w:tcPr>
            <w:tcW w:w="0" w:type="auto"/>
            <w:tcBorders>
              <w:top w:val="nil"/>
              <w:left w:val="nil"/>
              <w:bottom w:val="single" w:sz="4" w:space="0" w:color="auto"/>
              <w:right w:val="single" w:sz="4" w:space="0" w:color="auto"/>
            </w:tcBorders>
            <w:shd w:val="clear" w:color="auto" w:fill="auto"/>
          </w:tcPr>
          <w:p w14:paraId="43EF2A83" w14:textId="77777777" w:rsidR="00DB5B06" w:rsidRPr="00CF619A" w:rsidRDefault="00DB5B06" w:rsidP="007E1001">
            <w:pPr>
              <w:jc w:val="center"/>
              <w:rPr>
                <w:szCs w:val="22"/>
                <w:lang w:eastAsia="lv-LV"/>
              </w:rPr>
            </w:pPr>
          </w:p>
        </w:tc>
      </w:tr>
      <w:tr w:rsidR="00DB5B06" w:rsidRPr="00CF619A" w14:paraId="30403BFA"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23F8B599" w14:textId="278B06DB" w:rsidR="00DB5B06" w:rsidRPr="00CF619A" w:rsidRDefault="00DB5B06" w:rsidP="007E1001">
            <w:pPr>
              <w:contextualSpacing/>
              <w:rPr>
                <w:rFonts w:eastAsiaTheme="minorHAnsi"/>
                <w:noProof/>
                <w:szCs w:val="22"/>
                <w:lang w:eastAsia="lv-LV"/>
              </w:rPr>
            </w:pPr>
            <w:r w:rsidRPr="00CF619A">
              <w:rPr>
                <w:rFonts w:eastAsiaTheme="minorHAnsi"/>
                <w:b/>
                <w:bCs/>
                <w:noProof/>
                <w:szCs w:val="22"/>
                <w:lang w:eastAsia="lv-LV"/>
              </w:rPr>
              <w:t>Standarti</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175B84D4" w14:textId="77777777" w:rsidR="00DB5B06" w:rsidRPr="00CF619A" w:rsidRDefault="00DB5B06" w:rsidP="007E1001">
            <w:pPr>
              <w:jc w:val="center"/>
              <w:rPr>
                <w:szCs w:val="22"/>
                <w:lang w:eastAsia="lv-LV"/>
              </w:rPr>
            </w:pPr>
          </w:p>
        </w:tc>
      </w:tr>
      <w:tr w:rsidR="00DB5B06" w:rsidRPr="00CF619A" w14:paraId="2213BD9E"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477E99C"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6749E6DA" w14:textId="2B9404E1" w:rsidR="00DB5B06" w:rsidRPr="003D6EDE" w:rsidRDefault="00DB5B06" w:rsidP="007E1001">
            <w:pPr>
              <w:rPr>
                <w:szCs w:val="22"/>
                <w:vertAlign w:val="superscript"/>
                <w:lang w:eastAsia="lv-LV"/>
              </w:rPr>
            </w:pPr>
            <w:r w:rsidRPr="003D6EDE">
              <w:rPr>
                <w:szCs w:val="22"/>
                <w:lang w:eastAsia="lv-LV"/>
              </w:rPr>
              <w:t>CE zīme atbilstoši Regulas (ES) 2016/425 prasībām</w:t>
            </w:r>
          </w:p>
        </w:tc>
        <w:tc>
          <w:tcPr>
            <w:tcW w:w="0" w:type="auto"/>
            <w:tcBorders>
              <w:top w:val="nil"/>
              <w:left w:val="nil"/>
              <w:bottom w:val="single" w:sz="4" w:space="0" w:color="auto"/>
              <w:right w:val="single" w:sz="4" w:space="0" w:color="auto"/>
            </w:tcBorders>
            <w:shd w:val="clear" w:color="000000" w:fill="FFFFFF"/>
          </w:tcPr>
          <w:p w14:paraId="192A2997" w14:textId="446BCE6D" w:rsidR="00DB5B06" w:rsidRPr="003D6EDE" w:rsidRDefault="00DB5B06" w:rsidP="007E1001">
            <w:pPr>
              <w:jc w:val="center"/>
              <w:rPr>
                <w:szCs w:val="22"/>
                <w:lang w:eastAsia="lv-LV"/>
              </w:rPr>
            </w:pPr>
            <w:r w:rsidRPr="003D6EDE">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18A4B05" w14:textId="77777777" w:rsidR="00DB5B06" w:rsidRPr="00CF619A" w:rsidRDefault="00DB5B06" w:rsidP="007E1001">
            <w:pPr>
              <w:jc w:val="center"/>
              <w:rPr>
                <w:szCs w:val="22"/>
                <w:lang w:eastAsia="lv-LV"/>
              </w:rPr>
            </w:pPr>
          </w:p>
        </w:tc>
      </w:tr>
      <w:tr w:rsidR="00DB5B06" w:rsidRPr="00CF619A" w14:paraId="62244F29"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A5E1752"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36B1A0D5" w14:textId="481F952E" w:rsidR="00DB5B06" w:rsidRPr="003D6EDE" w:rsidRDefault="00DB5B06" w:rsidP="007E1001">
            <w:pPr>
              <w:rPr>
                <w:szCs w:val="22"/>
                <w:lang w:eastAsia="lv-LV"/>
              </w:rPr>
            </w:pPr>
            <w:r w:rsidRPr="003D6EDE">
              <w:rPr>
                <w:szCs w:val="22"/>
                <w:lang w:eastAsia="lv-LV"/>
              </w:rPr>
              <w:t>Atbilstība standartam LVS EN ISO 13688:2013 – Aizsargapģērbs. Vispārīgās prasības (ISO 13688:2013)</w:t>
            </w:r>
            <w:r w:rsidRPr="003D6EDE">
              <w:t xml:space="preserve"> </w:t>
            </w:r>
            <w:r w:rsidRPr="003D6EDE">
              <w:rPr>
                <w:szCs w:val="22"/>
                <w:lang w:eastAsia="lv-LV"/>
              </w:rPr>
              <w:t>vai ekvivalents</w:t>
            </w:r>
          </w:p>
        </w:tc>
        <w:tc>
          <w:tcPr>
            <w:tcW w:w="0" w:type="auto"/>
            <w:tcBorders>
              <w:top w:val="nil"/>
              <w:left w:val="nil"/>
              <w:bottom w:val="single" w:sz="4" w:space="0" w:color="auto"/>
              <w:right w:val="single" w:sz="4" w:space="0" w:color="auto"/>
            </w:tcBorders>
            <w:shd w:val="clear" w:color="000000" w:fill="FFFFFF"/>
          </w:tcPr>
          <w:p w14:paraId="5773ED16" w14:textId="24C8DA59" w:rsidR="00DB5B06" w:rsidRPr="003D6EDE" w:rsidRDefault="00DB5B06" w:rsidP="007E1001">
            <w:pPr>
              <w:jc w:val="center"/>
              <w:rPr>
                <w:szCs w:val="22"/>
                <w:lang w:eastAsia="lv-LV"/>
              </w:rPr>
            </w:pPr>
            <w:r w:rsidRPr="003D6EDE">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155B3970" w14:textId="77777777" w:rsidR="00DB5B06" w:rsidRPr="00CF619A" w:rsidRDefault="00DB5B06" w:rsidP="007E1001">
            <w:pPr>
              <w:jc w:val="center"/>
              <w:rPr>
                <w:szCs w:val="22"/>
                <w:lang w:eastAsia="lv-LV"/>
              </w:rPr>
            </w:pPr>
          </w:p>
        </w:tc>
      </w:tr>
      <w:tr w:rsidR="00DB5B06" w:rsidRPr="00CF619A" w14:paraId="3490722B"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5FDBB07"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1FCBAEF" w14:textId="6FADD70E" w:rsidR="00DB5B06" w:rsidRPr="003D6EDE" w:rsidRDefault="00DB5B06" w:rsidP="007E1001">
            <w:pPr>
              <w:rPr>
                <w:szCs w:val="22"/>
                <w:lang w:eastAsia="lv-LV"/>
              </w:rPr>
            </w:pPr>
            <w:r w:rsidRPr="003D6EDE">
              <w:rPr>
                <w:szCs w:val="22"/>
                <w:lang w:eastAsia="lv-LV"/>
              </w:rPr>
              <w:t>Atbilstoši LVS EN ISO 13688:2013 un zemāk minētajiem standartiem iešūts marķējums, kurā norādīts</w:t>
            </w:r>
            <w:r w:rsidRPr="003D6EDE">
              <w:rPr>
                <w:szCs w:val="22"/>
              </w:rPr>
              <w:t>:</w:t>
            </w:r>
          </w:p>
          <w:p w14:paraId="279C2FED" w14:textId="1D7FECD6" w:rsidR="00DB5B06" w:rsidRPr="003D6EDE" w:rsidRDefault="00DB5B06" w:rsidP="007E1001">
            <w:pPr>
              <w:numPr>
                <w:ilvl w:val="0"/>
                <w:numId w:val="1"/>
              </w:numPr>
              <w:ind w:left="199" w:hanging="142"/>
              <w:contextualSpacing/>
              <w:rPr>
                <w:szCs w:val="22"/>
                <w:lang w:eastAsia="lv-LV"/>
              </w:rPr>
            </w:pPr>
            <w:r w:rsidRPr="003D6EDE">
              <w:rPr>
                <w:szCs w:val="22"/>
                <w:lang w:eastAsia="lv-LV"/>
              </w:rPr>
              <w:t>izstrādājuma ražotāja identificēšanas zīme (ražotāja nosaukums vai logo)</w:t>
            </w:r>
            <w:r w:rsidRPr="003D6EDE">
              <w:rPr>
                <w:rFonts w:eastAsiaTheme="minorHAnsi"/>
                <w:noProof/>
                <w:szCs w:val="22"/>
              </w:rPr>
              <w:t>;</w:t>
            </w:r>
          </w:p>
          <w:p w14:paraId="2DE76D6B" w14:textId="1ED37626" w:rsidR="00DB5B06" w:rsidRPr="003D6EDE" w:rsidRDefault="00DB5B06" w:rsidP="007E1001">
            <w:pPr>
              <w:numPr>
                <w:ilvl w:val="0"/>
                <w:numId w:val="1"/>
              </w:numPr>
              <w:ind w:left="199" w:hanging="142"/>
              <w:contextualSpacing/>
              <w:rPr>
                <w:szCs w:val="22"/>
                <w:lang w:eastAsia="lv-LV"/>
              </w:rPr>
            </w:pPr>
            <w:r w:rsidRPr="003D6EDE">
              <w:rPr>
                <w:szCs w:val="22"/>
                <w:lang w:eastAsia="lv-LV"/>
              </w:rPr>
              <w:t>izstrādājuma izmērs</w:t>
            </w:r>
            <w:r w:rsidRPr="003D6EDE">
              <w:rPr>
                <w:rFonts w:eastAsiaTheme="minorHAnsi"/>
                <w:noProof/>
                <w:szCs w:val="22"/>
              </w:rPr>
              <w:t>;</w:t>
            </w:r>
          </w:p>
          <w:p w14:paraId="225D5EF1" w14:textId="048C4DA5" w:rsidR="00DB5B06" w:rsidRPr="003D6EDE" w:rsidRDefault="00DB5B06" w:rsidP="007E1001">
            <w:pPr>
              <w:numPr>
                <w:ilvl w:val="0"/>
                <w:numId w:val="1"/>
              </w:numPr>
              <w:ind w:left="199" w:hanging="142"/>
              <w:contextualSpacing/>
              <w:rPr>
                <w:szCs w:val="22"/>
                <w:lang w:eastAsia="lv-LV"/>
              </w:rPr>
            </w:pPr>
            <w:r w:rsidRPr="003D6EDE">
              <w:rPr>
                <w:szCs w:val="22"/>
                <w:lang w:eastAsia="lv-LV"/>
              </w:rPr>
              <w:t>auduma sastāvs</w:t>
            </w:r>
            <w:r w:rsidRPr="003D6EDE">
              <w:rPr>
                <w:rFonts w:eastAsiaTheme="minorHAnsi"/>
                <w:noProof/>
                <w:szCs w:val="22"/>
              </w:rPr>
              <w:t>;</w:t>
            </w:r>
          </w:p>
          <w:p w14:paraId="730FF873" w14:textId="677D0787" w:rsidR="00DB5B06" w:rsidRPr="003D6EDE" w:rsidRDefault="00DB5B06" w:rsidP="007E1001">
            <w:pPr>
              <w:numPr>
                <w:ilvl w:val="0"/>
                <w:numId w:val="1"/>
              </w:numPr>
              <w:ind w:left="199" w:hanging="142"/>
              <w:contextualSpacing/>
              <w:rPr>
                <w:szCs w:val="22"/>
                <w:lang w:eastAsia="lv-LV"/>
              </w:rPr>
            </w:pPr>
            <w:r w:rsidRPr="003D6EDE">
              <w:rPr>
                <w:szCs w:val="22"/>
                <w:lang w:eastAsia="lv-LV"/>
              </w:rPr>
              <w:t>aizsardzību norādošās piktogrammas ar atsauci uz standartiem</w:t>
            </w:r>
            <w:r w:rsidRPr="003D6EDE">
              <w:rPr>
                <w:rFonts w:eastAsiaTheme="minorHAnsi"/>
                <w:noProof/>
                <w:szCs w:val="22"/>
              </w:rPr>
              <w:t>;</w:t>
            </w:r>
            <w:r w:rsidRPr="003D6EDE">
              <w:rPr>
                <w:szCs w:val="22"/>
                <w:lang w:eastAsia="lv-LV"/>
              </w:rPr>
              <w:t xml:space="preserve"> </w:t>
            </w:r>
          </w:p>
          <w:p w14:paraId="46BB36C2" w14:textId="2C76F99D" w:rsidR="00DB5B06" w:rsidRPr="003D6EDE" w:rsidRDefault="00DB5B06" w:rsidP="007E1001">
            <w:pPr>
              <w:numPr>
                <w:ilvl w:val="0"/>
                <w:numId w:val="1"/>
              </w:numPr>
              <w:ind w:left="199" w:hanging="142"/>
              <w:contextualSpacing/>
              <w:rPr>
                <w:szCs w:val="22"/>
                <w:lang w:eastAsia="lv-LV"/>
              </w:rPr>
            </w:pPr>
            <w:r w:rsidRPr="003D6EDE">
              <w:rPr>
                <w:szCs w:val="22"/>
                <w:lang w:eastAsia="lv-LV"/>
              </w:rPr>
              <w:t>izstrādājuma kopšanas piktogrammas</w:t>
            </w:r>
            <w:r w:rsidRPr="003D6EDE">
              <w:rPr>
                <w:rFonts w:eastAsiaTheme="minorHAnsi"/>
                <w:noProof/>
                <w:szCs w:val="22"/>
              </w:rPr>
              <w:t>;</w:t>
            </w:r>
          </w:p>
          <w:p w14:paraId="1730885F" w14:textId="49B8C07C" w:rsidR="00DB5B06" w:rsidRPr="003D6EDE" w:rsidRDefault="00DB5B06" w:rsidP="007E1001">
            <w:pPr>
              <w:numPr>
                <w:ilvl w:val="0"/>
                <w:numId w:val="1"/>
              </w:numPr>
              <w:ind w:left="199" w:hanging="142"/>
              <w:contextualSpacing/>
              <w:rPr>
                <w:rFonts w:eastAsiaTheme="minorHAnsi" w:cstheme="minorBidi"/>
                <w:noProof/>
                <w:szCs w:val="22"/>
                <w:lang w:eastAsia="lv-LV"/>
              </w:rPr>
            </w:pPr>
            <w:r w:rsidRPr="003D6EDE">
              <w:rPr>
                <w:szCs w:val="22"/>
                <w:lang w:eastAsia="lv-LV"/>
              </w:rPr>
              <w:t>maksimālais mazgāšanas reižu skaits, ja ražotājs to noteicis</w:t>
            </w:r>
          </w:p>
        </w:tc>
        <w:tc>
          <w:tcPr>
            <w:tcW w:w="0" w:type="auto"/>
            <w:tcBorders>
              <w:top w:val="single" w:sz="4" w:space="0" w:color="auto"/>
              <w:left w:val="nil"/>
              <w:bottom w:val="single" w:sz="4" w:space="0" w:color="auto"/>
              <w:right w:val="single" w:sz="4" w:space="0" w:color="auto"/>
            </w:tcBorders>
            <w:shd w:val="clear" w:color="000000" w:fill="FFFFFF"/>
          </w:tcPr>
          <w:p w14:paraId="3BEC5A76" w14:textId="47F4C6CA" w:rsidR="00DB5B06" w:rsidRPr="003D6EDE" w:rsidRDefault="00DB5B06" w:rsidP="007E1001">
            <w:pPr>
              <w:jc w:val="center"/>
              <w:rPr>
                <w:szCs w:val="22"/>
                <w:lang w:eastAsia="lv-LV"/>
              </w:rPr>
            </w:pPr>
            <w:r w:rsidRPr="003D6EDE">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75573250" w14:textId="77777777" w:rsidR="00DB5B06" w:rsidRPr="00CF619A" w:rsidRDefault="00DB5B06" w:rsidP="007E1001">
            <w:pPr>
              <w:jc w:val="center"/>
              <w:rPr>
                <w:szCs w:val="22"/>
                <w:lang w:eastAsia="lv-LV"/>
              </w:rPr>
            </w:pPr>
          </w:p>
        </w:tc>
      </w:tr>
      <w:tr w:rsidR="00DB5B06" w:rsidRPr="00CF619A" w14:paraId="090B692B"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2478AA13"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4215532" w14:textId="1B165986" w:rsidR="00DB5B06" w:rsidRPr="003D6EDE" w:rsidRDefault="00DB5B06" w:rsidP="007E1001">
            <w:pPr>
              <w:autoSpaceDE w:val="0"/>
              <w:autoSpaceDN w:val="0"/>
              <w:adjustRightInd w:val="0"/>
              <w:rPr>
                <w:szCs w:val="22"/>
                <w:lang w:eastAsia="lv-LV"/>
              </w:rPr>
            </w:pPr>
            <w:r w:rsidRPr="003D6EDE">
              <w:rPr>
                <w:szCs w:val="22"/>
                <w:lang w:eastAsia="lv-LV"/>
              </w:rPr>
              <w:t xml:space="preserve">Testēts atbilstoši standartam </w:t>
            </w:r>
            <w:r w:rsidRPr="003D6EDE">
              <w:rPr>
                <w:szCs w:val="22"/>
              </w:rPr>
              <w:t xml:space="preserve"> LVS EN 61482-1-1:2019 – Darbs zem sprieguma. Aizsargapģērbs pret </w:t>
            </w:r>
            <w:proofErr w:type="spellStart"/>
            <w:r w:rsidRPr="003D6EDE">
              <w:rPr>
                <w:szCs w:val="22"/>
              </w:rPr>
              <w:t>elektroloka</w:t>
            </w:r>
            <w:proofErr w:type="spellEnd"/>
            <w:r w:rsidRPr="003D6EDE">
              <w:rPr>
                <w:szCs w:val="22"/>
              </w:rPr>
              <w:t xml:space="preserve"> termiskajām briesmām. 1-1. daļa: Testēšana. 1. metode: </w:t>
            </w:r>
            <w:proofErr w:type="spellStart"/>
            <w:r w:rsidRPr="003D6EDE">
              <w:rPr>
                <w:szCs w:val="22"/>
              </w:rPr>
              <w:t>Elektroloka</w:t>
            </w:r>
            <w:proofErr w:type="spellEnd"/>
            <w:r w:rsidRPr="003D6EDE">
              <w:rPr>
                <w:szCs w:val="22"/>
              </w:rPr>
              <w:t xml:space="preserve"> robežvērtību (ATPV vai E</w:t>
            </w:r>
            <w:r w:rsidRPr="003D6EDE">
              <w:rPr>
                <w:szCs w:val="22"/>
                <w:vertAlign w:val="subscript"/>
              </w:rPr>
              <w:t>BT50</w:t>
            </w:r>
            <w:r w:rsidRPr="003D6EDE">
              <w:rPr>
                <w:szCs w:val="22"/>
              </w:rPr>
              <w:t xml:space="preserve">) noteikšana apģērbam paredzētiem </w:t>
            </w:r>
            <w:proofErr w:type="spellStart"/>
            <w:r w:rsidRPr="003D6EDE">
              <w:rPr>
                <w:szCs w:val="22"/>
              </w:rPr>
              <w:t>liesmizturīgiem</w:t>
            </w:r>
            <w:proofErr w:type="spellEnd"/>
            <w:r w:rsidRPr="003D6EDE">
              <w:rPr>
                <w:szCs w:val="22"/>
              </w:rPr>
              <w:t xml:space="preserve"> materiāliem (IEC 61482-1-1:2019) </w:t>
            </w:r>
            <w:r w:rsidRPr="003D6EDE">
              <w:rPr>
                <w:bCs/>
                <w:szCs w:val="22"/>
              </w:rPr>
              <w:t xml:space="preserve">vai </w:t>
            </w:r>
            <w:r w:rsidRPr="003D6EDE">
              <w:rPr>
                <w:rFonts w:eastAsiaTheme="minorHAnsi"/>
                <w:szCs w:val="22"/>
              </w:rPr>
              <w:t xml:space="preserve">LVS EN IEC 61482-1-1:2019 </w:t>
            </w:r>
            <w:proofErr w:type="spellStart"/>
            <w:r w:rsidRPr="003D6EDE">
              <w:rPr>
                <w:rFonts w:eastAsiaTheme="minorHAnsi"/>
                <w:szCs w:val="22"/>
              </w:rPr>
              <w:t>Spriegumaktīvs</w:t>
            </w:r>
            <w:proofErr w:type="spellEnd"/>
            <w:r w:rsidRPr="003D6EDE">
              <w:rPr>
                <w:rFonts w:eastAsiaTheme="minorHAnsi"/>
                <w:szCs w:val="22"/>
              </w:rPr>
              <w:t xml:space="preserve"> darbs. Aizsargapģērbs pret elektriskā loka termisko bīstamību. 1-1.daļa: Testēšanas metodes. 1.metode: Elektriskā loka robežvērtību (ELIM, ATPV un/vai EBT) noteikšana ar atklātu loku apģērbu materiāliem un aizsargapģērbam (IEC 61482-1-1:2019) vai atbilstība ekvivalentiem</w:t>
            </w:r>
          </w:p>
        </w:tc>
        <w:tc>
          <w:tcPr>
            <w:tcW w:w="0" w:type="auto"/>
            <w:tcBorders>
              <w:top w:val="nil"/>
              <w:left w:val="nil"/>
              <w:bottom w:val="single" w:sz="4" w:space="0" w:color="auto"/>
              <w:right w:val="single" w:sz="4" w:space="0" w:color="auto"/>
            </w:tcBorders>
            <w:shd w:val="clear" w:color="000000" w:fill="FFFFFF"/>
          </w:tcPr>
          <w:p w14:paraId="4DCE4524" w14:textId="55F9F9E7" w:rsidR="00DB5B06" w:rsidRPr="003D6EDE" w:rsidRDefault="00DB5B06" w:rsidP="007E1001">
            <w:pPr>
              <w:jc w:val="center"/>
              <w:rPr>
                <w:szCs w:val="22"/>
                <w:lang w:eastAsia="lv-LV"/>
              </w:rPr>
            </w:pPr>
            <w:r w:rsidRPr="003D6EDE">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7D3F5815" w14:textId="77777777" w:rsidR="00DB5B06" w:rsidRPr="00CF619A" w:rsidRDefault="00DB5B06" w:rsidP="007E1001">
            <w:pPr>
              <w:jc w:val="center"/>
              <w:rPr>
                <w:szCs w:val="22"/>
                <w:lang w:eastAsia="lv-LV"/>
              </w:rPr>
            </w:pPr>
          </w:p>
        </w:tc>
      </w:tr>
      <w:tr w:rsidR="00DB5B06" w:rsidRPr="00CF619A" w14:paraId="281B5E1C" w14:textId="77777777" w:rsidTr="007A5AF5">
        <w:trPr>
          <w:cantSplit/>
          <w:trHeight w:val="1046"/>
        </w:trPr>
        <w:tc>
          <w:tcPr>
            <w:tcW w:w="0" w:type="auto"/>
            <w:tcBorders>
              <w:top w:val="nil"/>
              <w:left w:val="single" w:sz="4" w:space="0" w:color="auto"/>
              <w:bottom w:val="single" w:sz="4" w:space="0" w:color="auto"/>
              <w:right w:val="single" w:sz="4" w:space="0" w:color="auto"/>
            </w:tcBorders>
            <w:shd w:val="clear" w:color="000000" w:fill="FFFFFF"/>
          </w:tcPr>
          <w:p w14:paraId="15CE4EAC"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6ACCADE" w14:textId="42DC702C" w:rsidR="00DB5B06" w:rsidRPr="003D6EDE" w:rsidRDefault="00DB5B06" w:rsidP="007E1001">
            <w:pPr>
              <w:rPr>
                <w:szCs w:val="22"/>
              </w:rPr>
            </w:pPr>
            <w:r w:rsidRPr="003D6EDE">
              <w:rPr>
                <w:szCs w:val="22"/>
                <w:lang w:eastAsia="lv-LV"/>
              </w:rPr>
              <w:t xml:space="preserve">Testēts atbilstoši standartam </w:t>
            </w:r>
            <w:r w:rsidRPr="003D6EDE">
              <w:rPr>
                <w:szCs w:val="22"/>
              </w:rPr>
              <w:t xml:space="preserve">LVS EN 61482-1-2:2015 – Darbs zem sprieguma. Aizsargapģērbs pret </w:t>
            </w:r>
            <w:proofErr w:type="spellStart"/>
            <w:r w:rsidRPr="003D6EDE">
              <w:rPr>
                <w:szCs w:val="22"/>
              </w:rPr>
              <w:t>elektroloka</w:t>
            </w:r>
            <w:proofErr w:type="spellEnd"/>
            <w:r w:rsidRPr="003D6EDE">
              <w:rPr>
                <w:szCs w:val="22"/>
              </w:rPr>
              <w:t xml:space="preserve"> termiskajām briesmām. 1-2.daļa: Testēšanas metodes. 2.metode: Materiālu un apģērbu </w:t>
            </w:r>
            <w:proofErr w:type="spellStart"/>
            <w:r w:rsidRPr="003D6EDE">
              <w:rPr>
                <w:szCs w:val="22"/>
              </w:rPr>
              <w:t>elokdrošības</w:t>
            </w:r>
            <w:proofErr w:type="spellEnd"/>
            <w:r w:rsidRPr="003D6EDE">
              <w:rPr>
                <w:szCs w:val="22"/>
              </w:rPr>
              <w:t xml:space="preserve"> klases noteikšana ar ierobežota un virzīta </w:t>
            </w:r>
            <w:proofErr w:type="spellStart"/>
            <w:r w:rsidRPr="003D6EDE">
              <w:rPr>
                <w:szCs w:val="22"/>
              </w:rPr>
              <w:t>elektroloka</w:t>
            </w:r>
            <w:proofErr w:type="spellEnd"/>
            <w:r w:rsidRPr="003D6EDE">
              <w:rPr>
                <w:szCs w:val="22"/>
              </w:rPr>
              <w:t xml:space="preserve"> palīdzību (</w:t>
            </w:r>
            <w:proofErr w:type="spellStart"/>
            <w:r w:rsidRPr="003D6EDE">
              <w:rPr>
                <w:szCs w:val="22"/>
              </w:rPr>
              <w:t>kamertests</w:t>
            </w:r>
            <w:proofErr w:type="spellEnd"/>
            <w:r w:rsidRPr="003D6EDE">
              <w:rPr>
                <w:szCs w:val="22"/>
              </w:rPr>
              <w:t>) (IEC 61482-1-2:2014) vai ekvivalentiem</w:t>
            </w:r>
          </w:p>
        </w:tc>
        <w:tc>
          <w:tcPr>
            <w:tcW w:w="0" w:type="auto"/>
            <w:tcBorders>
              <w:top w:val="nil"/>
              <w:left w:val="nil"/>
              <w:bottom w:val="single" w:sz="4" w:space="0" w:color="auto"/>
              <w:right w:val="single" w:sz="4" w:space="0" w:color="auto"/>
            </w:tcBorders>
            <w:shd w:val="clear" w:color="000000" w:fill="FFFFFF"/>
          </w:tcPr>
          <w:p w14:paraId="4DEF6AD5" w14:textId="3137E361" w:rsidR="00DB5B06" w:rsidRPr="003D6EDE" w:rsidRDefault="00DB5B06" w:rsidP="007E1001">
            <w:pPr>
              <w:jc w:val="center"/>
              <w:rPr>
                <w:szCs w:val="22"/>
                <w:lang w:val="en-US" w:eastAsia="lv-LV"/>
              </w:rPr>
            </w:pPr>
            <w:r w:rsidRPr="003D6EDE">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74E25274" w14:textId="77777777" w:rsidR="00DB5B06" w:rsidRPr="00CF619A" w:rsidRDefault="00DB5B06" w:rsidP="007E1001">
            <w:pPr>
              <w:jc w:val="center"/>
              <w:rPr>
                <w:szCs w:val="22"/>
                <w:lang w:eastAsia="lv-LV"/>
              </w:rPr>
            </w:pPr>
          </w:p>
        </w:tc>
      </w:tr>
      <w:tr w:rsidR="00DB5B06" w:rsidRPr="00CF619A" w14:paraId="33050C01"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3CF62CC5"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B204ED1" w14:textId="55D1F224" w:rsidR="00DB5B06" w:rsidRPr="003D6EDE" w:rsidRDefault="00DB5B06" w:rsidP="007E1001">
            <w:pPr>
              <w:rPr>
                <w:szCs w:val="22"/>
              </w:rPr>
            </w:pPr>
            <w:r w:rsidRPr="003D6EDE">
              <w:rPr>
                <w:szCs w:val="22"/>
                <w:lang w:eastAsia="lv-LV"/>
              </w:rPr>
              <w:t xml:space="preserve">Atbilstība standartam LVS EN 61482-2:2020 </w:t>
            </w:r>
            <w:proofErr w:type="spellStart"/>
            <w:r w:rsidRPr="003D6EDE">
              <w:rPr>
                <w:szCs w:val="22"/>
                <w:lang w:eastAsia="lv-LV"/>
              </w:rPr>
              <w:t>Spriegumaktīvs</w:t>
            </w:r>
            <w:proofErr w:type="spellEnd"/>
            <w:r w:rsidRPr="003D6EDE">
              <w:rPr>
                <w:szCs w:val="22"/>
                <w:lang w:eastAsia="lv-LV"/>
              </w:rPr>
              <w:t xml:space="preserve"> darbs. Aizsargapģērbs pret elektriskā loka termisko bīstamību. 2.daļa: Prasības (IEC 61482-2:2018, modificēts) </w:t>
            </w:r>
            <w:r w:rsidRPr="003D6EDE">
              <w:rPr>
                <w:bCs/>
                <w:szCs w:val="22"/>
                <w:lang w:eastAsia="lv-LV"/>
              </w:rPr>
              <w:t>vai</w:t>
            </w:r>
            <w:r w:rsidRPr="003D6EDE">
              <w:rPr>
                <w:szCs w:val="22"/>
                <w:lang w:eastAsia="lv-LV"/>
              </w:rPr>
              <w:t xml:space="preserve"> ekvivalentiem </w:t>
            </w:r>
          </w:p>
        </w:tc>
        <w:tc>
          <w:tcPr>
            <w:tcW w:w="0" w:type="auto"/>
            <w:tcBorders>
              <w:top w:val="nil"/>
              <w:left w:val="nil"/>
              <w:bottom w:val="single" w:sz="4" w:space="0" w:color="auto"/>
              <w:right w:val="single" w:sz="4" w:space="0" w:color="auto"/>
            </w:tcBorders>
            <w:shd w:val="clear" w:color="000000" w:fill="FFFFFF"/>
          </w:tcPr>
          <w:p w14:paraId="317C8C2E" w14:textId="274FBC81" w:rsidR="00DB5B06" w:rsidRPr="003D6EDE" w:rsidRDefault="00DB5B06" w:rsidP="007E1001">
            <w:pPr>
              <w:jc w:val="center"/>
              <w:rPr>
                <w:szCs w:val="22"/>
                <w:lang w:eastAsia="lv-LV"/>
              </w:rPr>
            </w:pPr>
            <w:r w:rsidRPr="003D6EDE">
              <w:rPr>
                <w:szCs w:val="22"/>
                <w:lang w:eastAsia="lv-LV"/>
              </w:rPr>
              <w:t>Atbilst (norādīt atbilstošo)</w:t>
            </w:r>
          </w:p>
        </w:tc>
        <w:tc>
          <w:tcPr>
            <w:tcW w:w="0" w:type="auto"/>
            <w:tcBorders>
              <w:top w:val="nil"/>
              <w:left w:val="nil"/>
              <w:bottom w:val="single" w:sz="4" w:space="0" w:color="auto"/>
              <w:right w:val="single" w:sz="4" w:space="0" w:color="auto"/>
            </w:tcBorders>
            <w:shd w:val="clear" w:color="auto" w:fill="auto"/>
          </w:tcPr>
          <w:p w14:paraId="121A9BE7" w14:textId="77777777" w:rsidR="00DB5B06" w:rsidRPr="00CF619A" w:rsidRDefault="00DB5B06" w:rsidP="007E1001">
            <w:pPr>
              <w:jc w:val="center"/>
              <w:rPr>
                <w:szCs w:val="22"/>
                <w:lang w:eastAsia="lv-LV"/>
              </w:rPr>
            </w:pPr>
          </w:p>
        </w:tc>
      </w:tr>
      <w:tr w:rsidR="00DB5B06" w:rsidRPr="00CF619A" w14:paraId="32A377D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3AA5B74"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198360DD" w14:textId="25EBBA61" w:rsidR="00DB5B06" w:rsidRPr="003D6EDE" w:rsidRDefault="00DB5B06" w:rsidP="007E1001">
            <w:pPr>
              <w:rPr>
                <w:szCs w:val="22"/>
                <w:lang w:eastAsia="lv-LV"/>
              </w:rPr>
            </w:pPr>
            <w:r w:rsidRPr="003D6EDE">
              <w:rPr>
                <w:szCs w:val="22"/>
                <w:lang w:eastAsia="lv-LV"/>
              </w:rPr>
              <w:t>Atbilstība standartam</w:t>
            </w:r>
            <w:r w:rsidRPr="003D6EDE">
              <w:rPr>
                <w:szCs w:val="22"/>
              </w:rPr>
              <w:t xml:space="preserve"> </w:t>
            </w:r>
            <w:r w:rsidRPr="003D6EDE">
              <w:rPr>
                <w:bCs/>
                <w:szCs w:val="22"/>
                <w:shd w:val="clear" w:color="auto" w:fill="FFFFFF"/>
              </w:rPr>
              <w:t xml:space="preserve">LVS EN ISO 11612:2015 – </w:t>
            </w:r>
            <w:r w:rsidRPr="003D6EDE">
              <w:rPr>
                <w:szCs w:val="22"/>
                <w:shd w:val="clear" w:color="auto" w:fill="FFFFFF"/>
              </w:rPr>
              <w:t>Aizsargapģērbs. Apģērbs aizsardzībai pret karstumu un liesmu. Minimālās veiktspējas prasības (ISO 11612:2015)</w:t>
            </w:r>
            <w:r w:rsidRPr="003D6EDE">
              <w:t xml:space="preserve"> </w:t>
            </w:r>
            <w:r w:rsidRPr="003D6EDE">
              <w:rPr>
                <w:szCs w:val="22"/>
                <w:shd w:val="clear" w:color="auto" w:fill="FFFFFF"/>
              </w:rPr>
              <w:t>vai ekvivalentam</w:t>
            </w:r>
          </w:p>
        </w:tc>
        <w:tc>
          <w:tcPr>
            <w:tcW w:w="0" w:type="auto"/>
            <w:tcBorders>
              <w:top w:val="nil"/>
              <w:left w:val="nil"/>
              <w:bottom w:val="single" w:sz="4" w:space="0" w:color="auto"/>
              <w:right w:val="single" w:sz="4" w:space="0" w:color="auto"/>
            </w:tcBorders>
            <w:shd w:val="clear" w:color="000000" w:fill="FFFFFF"/>
          </w:tcPr>
          <w:p w14:paraId="6027AB17" w14:textId="65DB105B" w:rsidR="00DB5B06" w:rsidRPr="003D6EDE" w:rsidRDefault="00DB5B06" w:rsidP="007E1001">
            <w:pPr>
              <w:jc w:val="center"/>
              <w:rPr>
                <w:szCs w:val="22"/>
                <w:lang w:eastAsia="lv-LV"/>
              </w:rPr>
            </w:pPr>
            <w:r w:rsidRPr="003D6EDE">
              <w:rPr>
                <w:szCs w:val="22"/>
                <w:lang w:eastAsia="lv-LV"/>
              </w:rPr>
              <w:t>Atbilst</w:t>
            </w:r>
          </w:p>
          <w:p w14:paraId="6CDB8305" w14:textId="77777777" w:rsidR="00DB5B06" w:rsidRPr="003D6EDE" w:rsidRDefault="00DB5B06" w:rsidP="007E1001">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3C3E45B6" w14:textId="77777777" w:rsidR="00DB5B06" w:rsidRPr="00CF619A" w:rsidRDefault="00DB5B06" w:rsidP="007E1001">
            <w:pPr>
              <w:jc w:val="center"/>
              <w:rPr>
                <w:szCs w:val="22"/>
                <w:lang w:eastAsia="lv-LV"/>
              </w:rPr>
            </w:pPr>
          </w:p>
        </w:tc>
      </w:tr>
      <w:tr w:rsidR="00DB5B06" w:rsidRPr="00CF619A" w14:paraId="1BAA44CF"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443A068B"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0119D140" w14:textId="56D150C3" w:rsidR="00DB5B06" w:rsidRPr="003D6EDE" w:rsidRDefault="00DB5B06" w:rsidP="007E1001">
            <w:pPr>
              <w:rPr>
                <w:szCs w:val="22"/>
                <w:lang w:eastAsia="lv-LV"/>
              </w:rPr>
            </w:pPr>
            <w:r w:rsidRPr="003D6EDE">
              <w:rPr>
                <w:szCs w:val="22"/>
                <w:lang w:eastAsia="lv-LV"/>
              </w:rPr>
              <w:t xml:space="preserve">Atbilstība standartam </w:t>
            </w:r>
            <w:r w:rsidRPr="003D6EDE">
              <w:rPr>
                <w:szCs w:val="22"/>
              </w:rPr>
              <w:t xml:space="preserve">LVS EN 1149-5:2018 – Aizsargapģērbs. Elektrostatiskās īpašības. 5. daļa: Materiālu veiktspējas un apģērba konstrukcijas prasības </w:t>
            </w:r>
          </w:p>
        </w:tc>
        <w:tc>
          <w:tcPr>
            <w:tcW w:w="0" w:type="auto"/>
            <w:tcBorders>
              <w:top w:val="nil"/>
              <w:left w:val="nil"/>
              <w:bottom w:val="single" w:sz="4" w:space="0" w:color="auto"/>
              <w:right w:val="single" w:sz="4" w:space="0" w:color="auto"/>
            </w:tcBorders>
            <w:shd w:val="clear" w:color="000000" w:fill="FFFFFF"/>
          </w:tcPr>
          <w:p w14:paraId="567D340E" w14:textId="7B1C194F" w:rsidR="00DB5B06" w:rsidRPr="003D6EDE" w:rsidRDefault="00DB5B06" w:rsidP="007E1001">
            <w:pPr>
              <w:jc w:val="center"/>
              <w:rPr>
                <w:szCs w:val="22"/>
                <w:lang w:eastAsia="lv-LV"/>
              </w:rPr>
            </w:pPr>
            <w:r w:rsidRPr="003D6EDE">
              <w:rPr>
                <w:szCs w:val="22"/>
                <w:lang w:eastAsia="lv-LV"/>
              </w:rPr>
              <w:t>Atbilst</w:t>
            </w:r>
          </w:p>
          <w:p w14:paraId="1C42D295" w14:textId="77777777" w:rsidR="00DB5B06" w:rsidRPr="003D6EDE" w:rsidRDefault="00DB5B06" w:rsidP="007E1001">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4A9566BC" w14:textId="77777777" w:rsidR="00DB5B06" w:rsidRPr="00CF619A" w:rsidRDefault="00DB5B06" w:rsidP="007E1001">
            <w:pPr>
              <w:jc w:val="center"/>
              <w:rPr>
                <w:szCs w:val="22"/>
                <w:lang w:eastAsia="lv-LV"/>
              </w:rPr>
            </w:pPr>
          </w:p>
        </w:tc>
      </w:tr>
      <w:tr w:rsidR="00DB5B06" w:rsidRPr="00CF619A" w14:paraId="52DC834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E1E894C"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5189BF0" w14:textId="44FB31F2" w:rsidR="00DB5B06" w:rsidRPr="003D6EDE" w:rsidRDefault="00DB5B06" w:rsidP="007E1001">
            <w:pPr>
              <w:rPr>
                <w:szCs w:val="22"/>
              </w:rPr>
            </w:pPr>
            <w:r w:rsidRPr="003D6EDE">
              <w:rPr>
                <w:szCs w:val="22"/>
                <w:lang w:eastAsia="lv-LV"/>
              </w:rPr>
              <w:t xml:space="preserve">Atbilstība standartam </w:t>
            </w:r>
            <w:r w:rsidRPr="003D6EDE">
              <w:rPr>
                <w:szCs w:val="22"/>
              </w:rPr>
              <w:t>LVS EN 13034+A1:2009 vai ekvivalents – Aizsargapģērbs pret šķidrajām ķimikālijām. Veiktspējas prasības aizsargapģērbam pret ķimikālijām ar ierobežotu veiktspēju pret šķidrajām ķimikālijām, (6. tips un PB [6] tips piederumi)</w:t>
            </w:r>
          </w:p>
        </w:tc>
        <w:tc>
          <w:tcPr>
            <w:tcW w:w="0" w:type="auto"/>
            <w:tcBorders>
              <w:top w:val="nil"/>
              <w:left w:val="nil"/>
              <w:bottom w:val="single" w:sz="4" w:space="0" w:color="auto"/>
              <w:right w:val="single" w:sz="4" w:space="0" w:color="auto"/>
            </w:tcBorders>
            <w:shd w:val="clear" w:color="000000" w:fill="FFFFFF"/>
          </w:tcPr>
          <w:p w14:paraId="5C23306F" w14:textId="00167143" w:rsidR="00DB5B06" w:rsidRPr="003D6EDE" w:rsidRDefault="00DB5B06" w:rsidP="007E1001">
            <w:pPr>
              <w:jc w:val="center"/>
              <w:rPr>
                <w:szCs w:val="22"/>
                <w:lang w:eastAsia="lv-LV"/>
              </w:rPr>
            </w:pPr>
            <w:r w:rsidRPr="003D6EDE">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4D0601E4" w14:textId="77777777" w:rsidR="00DB5B06" w:rsidRPr="00CF619A" w:rsidRDefault="00DB5B06" w:rsidP="007E1001">
            <w:pPr>
              <w:jc w:val="center"/>
              <w:rPr>
                <w:szCs w:val="22"/>
                <w:lang w:eastAsia="lv-LV"/>
              </w:rPr>
            </w:pPr>
          </w:p>
        </w:tc>
      </w:tr>
      <w:tr w:rsidR="00DB5B06" w:rsidRPr="00CF619A" w14:paraId="38103A22"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70A5DBDD"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5F0A4A6" w14:textId="0A74C1F7" w:rsidR="00DB5B06" w:rsidRPr="003D6EDE" w:rsidRDefault="00DB5B06" w:rsidP="007E1001">
            <w:pPr>
              <w:rPr>
                <w:szCs w:val="22"/>
                <w:lang w:eastAsia="lv-LV"/>
              </w:rPr>
            </w:pPr>
            <w:r w:rsidRPr="003D6EDE">
              <w:rPr>
                <w:szCs w:val="22"/>
                <w:lang w:eastAsia="lv-LV"/>
              </w:rPr>
              <w:t>Atbilstība standartam</w:t>
            </w:r>
            <w:r w:rsidRPr="003D6EDE">
              <w:rPr>
                <w:szCs w:val="22"/>
              </w:rPr>
              <w:t xml:space="preserve"> LVS EN 343+A1:2007 + koriģējums AC:2010, LVS EN 343:2019 vai ekvivalents – </w:t>
            </w:r>
            <w:r w:rsidRPr="003D6EDE">
              <w:rPr>
                <w:szCs w:val="22"/>
                <w:shd w:val="clear" w:color="auto" w:fill="FFFFFF"/>
              </w:rPr>
              <w:t>Aizsargapģērbs. Aizsardzība pret lietu</w:t>
            </w:r>
          </w:p>
        </w:tc>
        <w:tc>
          <w:tcPr>
            <w:tcW w:w="0" w:type="auto"/>
            <w:tcBorders>
              <w:top w:val="nil"/>
              <w:left w:val="nil"/>
              <w:bottom w:val="single" w:sz="4" w:space="0" w:color="auto"/>
              <w:right w:val="single" w:sz="4" w:space="0" w:color="auto"/>
            </w:tcBorders>
            <w:shd w:val="clear" w:color="000000" w:fill="FFFFFF"/>
          </w:tcPr>
          <w:p w14:paraId="1BE9356B" w14:textId="77777777" w:rsidR="00DB5B06" w:rsidRPr="003D6EDE" w:rsidRDefault="00DB5B06" w:rsidP="007E1001">
            <w:pPr>
              <w:jc w:val="center"/>
              <w:rPr>
                <w:szCs w:val="22"/>
                <w:lang w:eastAsia="lv-LV"/>
              </w:rPr>
            </w:pPr>
            <w:r w:rsidRPr="003D6EDE">
              <w:rPr>
                <w:szCs w:val="22"/>
                <w:lang w:eastAsia="lv-LV"/>
              </w:rPr>
              <w:t>Atbilst</w:t>
            </w:r>
          </w:p>
          <w:p w14:paraId="5CB31DCA" w14:textId="3F03B3C8" w:rsidR="00DB5B06" w:rsidRPr="003D6EDE" w:rsidRDefault="00DB5B06" w:rsidP="007E1001">
            <w:pPr>
              <w:jc w:val="center"/>
              <w:rPr>
                <w:szCs w:val="22"/>
                <w:lang w:eastAsia="lv-LV"/>
              </w:rPr>
            </w:pPr>
            <w:r w:rsidRPr="003D6EDE">
              <w:rPr>
                <w:szCs w:val="22"/>
                <w:lang w:eastAsia="lv-LV"/>
              </w:rPr>
              <w:t>(norādīt atbilstošo)</w:t>
            </w:r>
          </w:p>
        </w:tc>
        <w:tc>
          <w:tcPr>
            <w:tcW w:w="0" w:type="auto"/>
            <w:tcBorders>
              <w:top w:val="nil"/>
              <w:left w:val="nil"/>
              <w:bottom w:val="single" w:sz="4" w:space="0" w:color="auto"/>
              <w:right w:val="single" w:sz="4" w:space="0" w:color="auto"/>
            </w:tcBorders>
            <w:shd w:val="clear" w:color="auto" w:fill="auto"/>
          </w:tcPr>
          <w:p w14:paraId="5E8AB901" w14:textId="77777777" w:rsidR="00DB5B06" w:rsidRPr="00CF619A" w:rsidRDefault="00DB5B06" w:rsidP="007E1001">
            <w:pPr>
              <w:jc w:val="center"/>
              <w:rPr>
                <w:szCs w:val="22"/>
                <w:lang w:eastAsia="lv-LV"/>
              </w:rPr>
            </w:pPr>
          </w:p>
        </w:tc>
      </w:tr>
      <w:tr w:rsidR="00DB5B06" w:rsidRPr="00CF619A" w14:paraId="2EF64698"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619306E3"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607C18D1" w14:textId="000D0ADC" w:rsidR="00DB5B06" w:rsidRPr="003D6EDE" w:rsidRDefault="00DB5B06" w:rsidP="007E1001">
            <w:pPr>
              <w:keepNext/>
              <w:rPr>
                <w:szCs w:val="22"/>
              </w:rPr>
            </w:pPr>
            <w:r w:rsidRPr="003D6EDE">
              <w:rPr>
                <w:szCs w:val="22"/>
                <w:lang w:eastAsia="lv-LV"/>
              </w:rPr>
              <w:t>Atbilstība standartam</w:t>
            </w:r>
            <w:r w:rsidRPr="003D6EDE">
              <w:rPr>
                <w:szCs w:val="22"/>
              </w:rPr>
              <w:t xml:space="preserve"> LVS EN ISO 20471:2013 + grozījums A1:2017 – Paaugstinātas redzamības apģērbs. Testēšanas metodes un prasības (ISO 20471:2013, koriģētā versija 2013-06-01 + </w:t>
            </w:r>
            <w:proofErr w:type="spellStart"/>
            <w:r w:rsidRPr="003D6EDE">
              <w:rPr>
                <w:szCs w:val="22"/>
              </w:rPr>
              <w:t>Amd</w:t>
            </w:r>
            <w:proofErr w:type="spellEnd"/>
            <w:r w:rsidRPr="003D6EDE">
              <w:rPr>
                <w:szCs w:val="22"/>
              </w:rPr>
              <w:t xml:space="preserve"> 1:2016) vai ekvivalentiem</w:t>
            </w:r>
          </w:p>
        </w:tc>
        <w:tc>
          <w:tcPr>
            <w:tcW w:w="0" w:type="auto"/>
            <w:tcBorders>
              <w:top w:val="nil"/>
              <w:left w:val="nil"/>
              <w:bottom w:val="single" w:sz="4" w:space="0" w:color="auto"/>
              <w:right w:val="single" w:sz="4" w:space="0" w:color="auto"/>
            </w:tcBorders>
            <w:shd w:val="clear" w:color="000000" w:fill="FFFFFF"/>
          </w:tcPr>
          <w:p w14:paraId="10C096D1" w14:textId="77777777" w:rsidR="00DB5B06" w:rsidRPr="003D6EDE" w:rsidRDefault="00DB5B06" w:rsidP="007E1001">
            <w:pPr>
              <w:jc w:val="center"/>
              <w:rPr>
                <w:szCs w:val="22"/>
                <w:lang w:eastAsia="lv-LV"/>
              </w:rPr>
            </w:pPr>
            <w:r w:rsidRPr="003D6EDE">
              <w:rPr>
                <w:szCs w:val="22"/>
                <w:lang w:eastAsia="lv-LV"/>
              </w:rPr>
              <w:t>Atbilst</w:t>
            </w:r>
          </w:p>
          <w:p w14:paraId="13D0E86A" w14:textId="47667CF5" w:rsidR="00DB5B06" w:rsidRPr="003D6EDE" w:rsidRDefault="00DB5B06" w:rsidP="007E1001">
            <w:pPr>
              <w:jc w:val="center"/>
              <w:rPr>
                <w:szCs w:val="22"/>
                <w:lang w:eastAsia="lv-LV"/>
              </w:rPr>
            </w:pPr>
            <w:r w:rsidRPr="003D6EDE">
              <w:rPr>
                <w:szCs w:val="22"/>
                <w:lang w:eastAsia="lv-LV"/>
              </w:rPr>
              <w:t>(norādīt atbilstošo)</w:t>
            </w:r>
          </w:p>
        </w:tc>
        <w:tc>
          <w:tcPr>
            <w:tcW w:w="0" w:type="auto"/>
            <w:tcBorders>
              <w:top w:val="nil"/>
              <w:left w:val="nil"/>
              <w:bottom w:val="single" w:sz="4" w:space="0" w:color="auto"/>
              <w:right w:val="single" w:sz="4" w:space="0" w:color="auto"/>
            </w:tcBorders>
            <w:shd w:val="clear" w:color="auto" w:fill="auto"/>
          </w:tcPr>
          <w:p w14:paraId="5070DFDB" w14:textId="77777777" w:rsidR="00DB5B06" w:rsidRPr="00CF619A" w:rsidRDefault="00DB5B06" w:rsidP="007E1001">
            <w:pPr>
              <w:jc w:val="center"/>
              <w:rPr>
                <w:szCs w:val="22"/>
                <w:lang w:eastAsia="lv-LV"/>
              </w:rPr>
            </w:pPr>
          </w:p>
        </w:tc>
      </w:tr>
      <w:tr w:rsidR="00DB5B06" w:rsidRPr="00CF619A" w14:paraId="520170DB"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38FEF5A8" w14:textId="52250622" w:rsidR="00DB5B06" w:rsidRPr="00280D78" w:rsidRDefault="00DB5B06" w:rsidP="007E1001">
            <w:pPr>
              <w:contextualSpacing/>
              <w:rPr>
                <w:rFonts w:eastAsiaTheme="minorHAnsi"/>
                <w:b/>
                <w:bCs/>
                <w:noProof/>
                <w:szCs w:val="22"/>
                <w:lang w:eastAsia="lv-LV"/>
              </w:rPr>
            </w:pPr>
            <w:r w:rsidRPr="00280D78">
              <w:rPr>
                <w:rFonts w:eastAsiaTheme="minorHAnsi"/>
                <w:b/>
                <w:bCs/>
                <w:noProof/>
                <w:szCs w:val="22"/>
                <w:lang w:eastAsia="lv-LV"/>
              </w:rPr>
              <w:t>Dokumentācija</w:t>
            </w:r>
          </w:p>
        </w:tc>
        <w:tc>
          <w:tcPr>
            <w:tcW w:w="0" w:type="auto"/>
            <w:tcBorders>
              <w:top w:val="nil"/>
              <w:left w:val="nil"/>
              <w:bottom w:val="single" w:sz="4" w:space="0" w:color="auto"/>
              <w:right w:val="single" w:sz="4" w:space="0" w:color="auto"/>
            </w:tcBorders>
            <w:shd w:val="clear" w:color="auto" w:fill="B8CCE4" w:themeFill="accent1" w:themeFillTint="66"/>
          </w:tcPr>
          <w:p w14:paraId="28230FF7" w14:textId="77777777" w:rsidR="00DB5B06" w:rsidRPr="00CF619A" w:rsidRDefault="00DB5B06" w:rsidP="007E1001">
            <w:pPr>
              <w:jc w:val="center"/>
              <w:rPr>
                <w:b/>
                <w:bCs/>
                <w:szCs w:val="22"/>
                <w:lang w:eastAsia="lv-LV"/>
              </w:rPr>
            </w:pPr>
          </w:p>
        </w:tc>
      </w:tr>
      <w:tr w:rsidR="00DB5B06" w:rsidRPr="00CF619A" w14:paraId="3C4388F0"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1C53509C"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974D7E9" w14:textId="0F2D588B" w:rsidR="00DB5B06" w:rsidRPr="00280D78" w:rsidRDefault="00DB5B06" w:rsidP="007E1001">
            <w:pPr>
              <w:rPr>
                <w:color w:val="000000" w:themeColor="text1"/>
                <w:szCs w:val="22"/>
                <w:lang w:eastAsia="lv-LV"/>
              </w:rPr>
            </w:pPr>
            <w:r w:rsidRPr="00280D78">
              <w:rPr>
                <w:color w:val="000000" w:themeColor="text1"/>
                <w:szCs w:val="22"/>
                <w:lang w:eastAsia="lv-LV"/>
              </w:rPr>
              <w:t>Iesniegts preces attēls</w:t>
            </w:r>
          </w:p>
        </w:tc>
        <w:tc>
          <w:tcPr>
            <w:tcW w:w="0" w:type="auto"/>
            <w:tcBorders>
              <w:top w:val="nil"/>
              <w:left w:val="nil"/>
              <w:bottom w:val="single" w:sz="4" w:space="0" w:color="auto"/>
              <w:right w:val="single" w:sz="4" w:space="0" w:color="auto"/>
            </w:tcBorders>
            <w:shd w:val="clear" w:color="auto" w:fill="auto"/>
          </w:tcPr>
          <w:p w14:paraId="328BBEF7" w14:textId="4831E2A0" w:rsidR="00DB5B06" w:rsidRPr="00280D78" w:rsidRDefault="00DB5B06" w:rsidP="007E1001">
            <w:pPr>
              <w:jc w:val="center"/>
              <w:rPr>
                <w:b/>
                <w:bCs/>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3629E1D9" w14:textId="77777777" w:rsidR="00DB5B06" w:rsidRPr="00CF619A" w:rsidRDefault="00DB5B06" w:rsidP="007E1001">
            <w:pPr>
              <w:jc w:val="center"/>
              <w:rPr>
                <w:b/>
                <w:bCs/>
                <w:szCs w:val="22"/>
                <w:lang w:eastAsia="lv-LV"/>
              </w:rPr>
            </w:pPr>
          </w:p>
        </w:tc>
      </w:tr>
      <w:tr w:rsidR="00DB5B06" w:rsidRPr="00CF619A" w14:paraId="118941C2"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05E93D27"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5FDBAC1A" w14:textId="1DEF1D0E" w:rsidR="00DB5B06" w:rsidRPr="00280D78" w:rsidRDefault="00DB5B06" w:rsidP="007E1001">
            <w:pPr>
              <w:rPr>
                <w:color w:val="000000" w:themeColor="text1"/>
                <w:szCs w:val="22"/>
              </w:rPr>
            </w:pPr>
            <w:r w:rsidRPr="00280D78">
              <w:rPr>
                <w:color w:val="000000" w:themeColor="text1"/>
                <w:szCs w:val="22"/>
              </w:rPr>
              <w:t>Iesniegta preces tehnisko datu lapa vai cits dokuments, kurā norādīts preces apraksts un tehniskie parametri (aizsardzības), vai norādīta saite uz ražotāja/piegādātāja tīmekļvietni, kurā redzama preces tehniskā datu lapa</w:t>
            </w:r>
          </w:p>
        </w:tc>
        <w:tc>
          <w:tcPr>
            <w:tcW w:w="0" w:type="auto"/>
            <w:tcBorders>
              <w:top w:val="nil"/>
              <w:left w:val="nil"/>
              <w:bottom w:val="single" w:sz="4" w:space="0" w:color="auto"/>
              <w:right w:val="single" w:sz="4" w:space="0" w:color="auto"/>
            </w:tcBorders>
            <w:shd w:val="clear" w:color="auto" w:fill="auto"/>
          </w:tcPr>
          <w:p w14:paraId="09663E5C" w14:textId="2199EFB6" w:rsidR="00DB5B06" w:rsidRPr="00280D78" w:rsidRDefault="00DB5B06" w:rsidP="007E1001">
            <w:pPr>
              <w:jc w:val="center"/>
              <w:rPr>
                <w:szCs w:val="22"/>
                <w:lang w:eastAsia="lv-LV"/>
              </w:rPr>
            </w:pPr>
            <w:r w:rsidRPr="00280D78">
              <w:rPr>
                <w:szCs w:val="22"/>
                <w:lang w:eastAsia="lv-LV"/>
              </w:rPr>
              <w:t>Atbilst</w:t>
            </w:r>
          </w:p>
          <w:p w14:paraId="32730BE4" w14:textId="77777777" w:rsidR="00DB5B06" w:rsidRPr="00280D78" w:rsidRDefault="00DB5B06" w:rsidP="007E1001">
            <w:pPr>
              <w:jc w:val="center"/>
              <w:rPr>
                <w:szCs w:val="22"/>
                <w:lang w:eastAsia="lv-LV"/>
              </w:rPr>
            </w:pPr>
          </w:p>
        </w:tc>
        <w:tc>
          <w:tcPr>
            <w:tcW w:w="0" w:type="auto"/>
            <w:tcBorders>
              <w:top w:val="nil"/>
              <w:left w:val="nil"/>
              <w:bottom w:val="single" w:sz="4" w:space="0" w:color="auto"/>
              <w:right w:val="single" w:sz="4" w:space="0" w:color="auto"/>
            </w:tcBorders>
            <w:shd w:val="clear" w:color="auto" w:fill="auto"/>
          </w:tcPr>
          <w:p w14:paraId="029BF3B6" w14:textId="77777777" w:rsidR="00DB5B06" w:rsidRPr="00CF619A" w:rsidRDefault="00DB5B06" w:rsidP="007E1001">
            <w:pPr>
              <w:jc w:val="center"/>
              <w:rPr>
                <w:b/>
                <w:bCs/>
                <w:szCs w:val="22"/>
                <w:lang w:eastAsia="lv-LV"/>
              </w:rPr>
            </w:pPr>
          </w:p>
        </w:tc>
      </w:tr>
      <w:tr w:rsidR="00DB5B06" w:rsidRPr="00CF619A" w14:paraId="56BA4DED"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9AC6101"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45123FAD" w14:textId="323A1694" w:rsidR="00DB5B06" w:rsidRPr="00280D78" w:rsidRDefault="00DB5B06" w:rsidP="007E1001">
            <w:pPr>
              <w:rPr>
                <w:color w:val="000000" w:themeColor="text1"/>
                <w:szCs w:val="22"/>
                <w:lang w:eastAsia="lv-LV"/>
              </w:rPr>
            </w:pPr>
            <w:r w:rsidRPr="00280D78">
              <w:rPr>
                <w:color w:val="000000" w:themeColor="text1"/>
                <w:szCs w:val="22"/>
              </w:rPr>
              <w:t>Iesniegta ES atbilstības deklarācijas kopija</w:t>
            </w:r>
          </w:p>
        </w:tc>
        <w:tc>
          <w:tcPr>
            <w:tcW w:w="0" w:type="auto"/>
            <w:tcBorders>
              <w:top w:val="nil"/>
              <w:left w:val="nil"/>
              <w:bottom w:val="single" w:sz="4" w:space="0" w:color="auto"/>
              <w:right w:val="single" w:sz="4" w:space="0" w:color="auto"/>
            </w:tcBorders>
            <w:shd w:val="clear" w:color="auto" w:fill="auto"/>
          </w:tcPr>
          <w:p w14:paraId="6821A14B" w14:textId="725BCFB6" w:rsidR="00DB5B06" w:rsidRPr="00280D78" w:rsidRDefault="00DB5B06" w:rsidP="007E1001">
            <w:pPr>
              <w:jc w:val="center"/>
              <w:rPr>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D35A517" w14:textId="77777777" w:rsidR="00DB5B06" w:rsidRPr="00CF619A" w:rsidRDefault="00DB5B06" w:rsidP="007E1001">
            <w:pPr>
              <w:jc w:val="center"/>
              <w:rPr>
                <w:b/>
                <w:bCs/>
                <w:szCs w:val="22"/>
                <w:lang w:eastAsia="lv-LV"/>
              </w:rPr>
            </w:pPr>
          </w:p>
        </w:tc>
      </w:tr>
      <w:tr w:rsidR="00DB5B06" w:rsidRPr="00CF619A" w14:paraId="0522BC0E"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444C7150"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43A3D956" w14:textId="19EBAE67" w:rsidR="00DB5B06" w:rsidRPr="00280D78" w:rsidRDefault="00DB5B06" w:rsidP="007E1001">
            <w:pPr>
              <w:rPr>
                <w:color w:val="000000" w:themeColor="text1"/>
                <w:szCs w:val="22"/>
              </w:rPr>
            </w:pPr>
            <w:r w:rsidRPr="00280D78">
              <w:rPr>
                <w:color w:val="000000" w:themeColor="text1"/>
                <w:szCs w:val="22"/>
                <w:lang w:eastAsia="lv-LV"/>
              </w:rPr>
              <w:t xml:space="preserve">Iesniegta </w:t>
            </w:r>
            <w:r w:rsidRPr="00280D78">
              <w:rPr>
                <w:color w:val="000000" w:themeColor="text1"/>
                <w:szCs w:val="22"/>
              </w:rPr>
              <w:t xml:space="preserve">REGULAI 2016/425 atbilstoša </w:t>
            </w:r>
            <w:r w:rsidRPr="00280D78">
              <w:rPr>
                <w:color w:val="000000" w:themeColor="text1"/>
                <w:szCs w:val="22"/>
                <w:lang w:eastAsia="lv-LV"/>
              </w:rPr>
              <w:t>ES tipa pārbaudes sertifikāta kopija</w:t>
            </w:r>
            <w:r w:rsidRPr="00280D78">
              <w:rPr>
                <w:color w:val="000000" w:themeColor="text1"/>
                <w:szCs w:val="22"/>
              </w:rPr>
              <w:t xml:space="preserve"> </w:t>
            </w:r>
            <w:r w:rsidRPr="00280D78">
              <w:rPr>
                <w:color w:val="000000" w:themeColor="text1"/>
                <w:szCs w:val="22"/>
                <w:vertAlign w:val="superscript"/>
              </w:rPr>
              <w:footnoteReference w:id="7"/>
            </w:r>
          </w:p>
        </w:tc>
        <w:tc>
          <w:tcPr>
            <w:tcW w:w="0" w:type="auto"/>
            <w:tcBorders>
              <w:top w:val="nil"/>
              <w:left w:val="nil"/>
              <w:bottom w:val="single" w:sz="4" w:space="0" w:color="auto"/>
              <w:right w:val="single" w:sz="4" w:space="0" w:color="auto"/>
            </w:tcBorders>
            <w:shd w:val="clear" w:color="auto" w:fill="auto"/>
          </w:tcPr>
          <w:p w14:paraId="7FD598D2" w14:textId="06A7C87F" w:rsidR="00DB5B06" w:rsidRPr="00280D78" w:rsidRDefault="00DB5B06" w:rsidP="007E1001">
            <w:pPr>
              <w:jc w:val="center"/>
              <w:rPr>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4054B5A9" w14:textId="77777777" w:rsidR="00DB5B06" w:rsidRPr="00CF619A" w:rsidRDefault="00DB5B06" w:rsidP="007E1001">
            <w:pPr>
              <w:jc w:val="center"/>
              <w:rPr>
                <w:b/>
                <w:bCs/>
                <w:szCs w:val="22"/>
                <w:lang w:eastAsia="lv-LV"/>
              </w:rPr>
            </w:pPr>
          </w:p>
        </w:tc>
      </w:tr>
      <w:tr w:rsidR="00DB5B06" w:rsidRPr="00CF619A" w14:paraId="108E45F1"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0952407"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493EA33" w14:textId="525927B8" w:rsidR="00DB5B06" w:rsidRPr="00280D78" w:rsidRDefault="00DB5B06" w:rsidP="007E1001">
            <w:pPr>
              <w:pStyle w:val="CommentText"/>
              <w:rPr>
                <w:color w:val="000000" w:themeColor="text1"/>
                <w:sz w:val="22"/>
                <w:szCs w:val="22"/>
              </w:rPr>
            </w:pPr>
            <w:r w:rsidRPr="00280D78">
              <w:rPr>
                <w:color w:val="000000" w:themeColor="text1"/>
                <w:sz w:val="22"/>
                <w:szCs w:val="22"/>
              </w:rPr>
              <w:t>Iesniegta ražotāja instrukcija, kur norādīts ka virsējā materiāla sertifikāta/materiālu kombināciju testēšanas pārskats un gatavā apģērba testēšanas pārskats atbilst noteiktiem rādītājam</w:t>
            </w:r>
            <w:r w:rsidRPr="00280D78">
              <w:rPr>
                <w:color w:val="000000" w:themeColor="text1"/>
                <w:sz w:val="22"/>
                <w:szCs w:val="22"/>
                <w:vertAlign w:val="superscript"/>
              </w:rPr>
              <w:footnoteReference w:id="8"/>
            </w:r>
            <w:r w:rsidRPr="00280D78">
              <w:rPr>
                <w:color w:val="000000" w:themeColor="text1"/>
                <w:sz w:val="22"/>
                <w:szCs w:val="22"/>
              </w:rPr>
              <w:t xml:space="preserve">  </w:t>
            </w:r>
          </w:p>
        </w:tc>
        <w:tc>
          <w:tcPr>
            <w:tcW w:w="0" w:type="auto"/>
            <w:tcBorders>
              <w:top w:val="nil"/>
              <w:left w:val="nil"/>
              <w:bottom w:val="single" w:sz="4" w:space="0" w:color="auto"/>
              <w:right w:val="single" w:sz="4" w:space="0" w:color="auto"/>
            </w:tcBorders>
            <w:shd w:val="clear" w:color="auto" w:fill="auto"/>
          </w:tcPr>
          <w:p w14:paraId="098C6F36" w14:textId="206C852E" w:rsidR="00DB5B06" w:rsidRPr="00280D78" w:rsidRDefault="00DB5B06" w:rsidP="007E1001">
            <w:pPr>
              <w:jc w:val="center"/>
              <w:rPr>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B93256F" w14:textId="77777777" w:rsidR="00DB5B06" w:rsidRPr="00CF619A" w:rsidRDefault="00DB5B06" w:rsidP="007E1001">
            <w:pPr>
              <w:jc w:val="center"/>
              <w:rPr>
                <w:b/>
                <w:bCs/>
                <w:szCs w:val="22"/>
                <w:lang w:eastAsia="lv-LV"/>
              </w:rPr>
            </w:pPr>
          </w:p>
        </w:tc>
      </w:tr>
      <w:tr w:rsidR="00DB5B06" w:rsidRPr="00CF619A" w14:paraId="4E9A15FC" w14:textId="77777777" w:rsidTr="00F1070D">
        <w:trPr>
          <w:cantSplit/>
        </w:trPr>
        <w:tc>
          <w:tcPr>
            <w:tcW w:w="0" w:type="auto"/>
            <w:tcBorders>
              <w:top w:val="nil"/>
              <w:left w:val="single" w:sz="4" w:space="0" w:color="auto"/>
              <w:bottom w:val="single" w:sz="4" w:space="0" w:color="auto"/>
              <w:right w:val="single" w:sz="4" w:space="0" w:color="auto"/>
            </w:tcBorders>
            <w:shd w:val="clear" w:color="000000" w:fill="FFFFFF"/>
          </w:tcPr>
          <w:p w14:paraId="3D1DFA74"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421E0E0E" w14:textId="065E287A" w:rsidR="00DB5B06" w:rsidRPr="00280D78" w:rsidRDefault="00DB5B06" w:rsidP="007E1001">
            <w:pPr>
              <w:rPr>
                <w:color w:val="000000" w:themeColor="text1"/>
                <w:szCs w:val="22"/>
                <w:lang w:eastAsia="lv-LV"/>
              </w:rPr>
            </w:pPr>
            <w:r w:rsidRPr="00280D78">
              <w:rPr>
                <w:color w:val="000000" w:themeColor="text1"/>
                <w:szCs w:val="22"/>
                <w:lang w:eastAsia="lv-LV"/>
              </w:rPr>
              <w:t>Iesniegta oriģinālā lietošanas instrukcija sekojošā valodā</w:t>
            </w:r>
          </w:p>
        </w:tc>
        <w:tc>
          <w:tcPr>
            <w:tcW w:w="0" w:type="auto"/>
            <w:tcBorders>
              <w:top w:val="nil"/>
              <w:left w:val="nil"/>
              <w:bottom w:val="single" w:sz="4" w:space="0" w:color="auto"/>
              <w:right w:val="single" w:sz="4" w:space="0" w:color="auto"/>
            </w:tcBorders>
            <w:shd w:val="clear" w:color="000000" w:fill="FFFFFF"/>
          </w:tcPr>
          <w:p w14:paraId="334B3FD7" w14:textId="33BB6471" w:rsidR="00DB5B06" w:rsidRPr="00280D78" w:rsidRDefault="00DB5B06" w:rsidP="007E1001">
            <w:pPr>
              <w:jc w:val="center"/>
              <w:rPr>
                <w:szCs w:val="22"/>
                <w:lang w:eastAsia="lv-LV"/>
              </w:rPr>
            </w:pPr>
            <w:r w:rsidRPr="00280D78">
              <w:rPr>
                <w:szCs w:val="22"/>
                <w:lang w:eastAsia="lv-LV"/>
              </w:rPr>
              <w:t xml:space="preserve">LV </w:t>
            </w:r>
          </w:p>
        </w:tc>
        <w:tc>
          <w:tcPr>
            <w:tcW w:w="0" w:type="auto"/>
            <w:tcBorders>
              <w:top w:val="nil"/>
              <w:left w:val="nil"/>
              <w:bottom w:val="single" w:sz="4" w:space="0" w:color="auto"/>
              <w:right w:val="single" w:sz="4" w:space="0" w:color="auto"/>
            </w:tcBorders>
            <w:shd w:val="clear" w:color="auto" w:fill="auto"/>
          </w:tcPr>
          <w:p w14:paraId="68DCE9B4" w14:textId="77777777" w:rsidR="00DB5B06" w:rsidRPr="00CF619A" w:rsidRDefault="00DB5B06" w:rsidP="007E1001">
            <w:pPr>
              <w:jc w:val="center"/>
              <w:rPr>
                <w:szCs w:val="22"/>
                <w:lang w:eastAsia="lv-LV"/>
              </w:rPr>
            </w:pPr>
          </w:p>
        </w:tc>
      </w:tr>
      <w:tr w:rsidR="00DB5B06" w:rsidRPr="00CF619A" w14:paraId="4AB567FD" w14:textId="77777777" w:rsidTr="001916E9">
        <w:trPr>
          <w:cantSplit/>
          <w:trHeight w:val="237"/>
        </w:trPr>
        <w:tc>
          <w:tcPr>
            <w:tcW w:w="0" w:type="auto"/>
            <w:tcBorders>
              <w:top w:val="nil"/>
              <w:left w:val="single" w:sz="4" w:space="0" w:color="auto"/>
              <w:bottom w:val="single" w:sz="4" w:space="0" w:color="auto"/>
              <w:right w:val="single" w:sz="4" w:space="0" w:color="auto"/>
            </w:tcBorders>
            <w:shd w:val="clear" w:color="000000" w:fill="FFFFFF"/>
          </w:tcPr>
          <w:p w14:paraId="084A54CB"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26A3A6F8" w14:textId="34695892" w:rsidR="00DB5B06" w:rsidRPr="00280D78" w:rsidRDefault="00DB5B06" w:rsidP="007E1001">
            <w:pPr>
              <w:rPr>
                <w:color w:val="000000" w:themeColor="text1"/>
                <w:szCs w:val="22"/>
                <w:lang w:eastAsia="lv-LV"/>
              </w:rPr>
            </w:pPr>
            <w:r w:rsidRPr="00280D78">
              <w:rPr>
                <w:rFonts w:eastAsiaTheme="minorHAnsi"/>
                <w:color w:val="000000" w:themeColor="text1"/>
                <w:szCs w:val="22"/>
              </w:rPr>
              <w:t>Iesniegtas piedāvātās preces izmēru tabula</w:t>
            </w:r>
          </w:p>
        </w:tc>
        <w:tc>
          <w:tcPr>
            <w:tcW w:w="0" w:type="auto"/>
            <w:tcBorders>
              <w:top w:val="nil"/>
              <w:left w:val="nil"/>
              <w:bottom w:val="single" w:sz="4" w:space="0" w:color="auto"/>
              <w:right w:val="single" w:sz="4" w:space="0" w:color="auto"/>
            </w:tcBorders>
            <w:shd w:val="clear" w:color="000000" w:fill="FFFFFF"/>
          </w:tcPr>
          <w:p w14:paraId="6F494CE9" w14:textId="6363FE51" w:rsidR="00DB5B06" w:rsidRPr="00280D78" w:rsidRDefault="00DB5B06" w:rsidP="007E1001">
            <w:pPr>
              <w:jc w:val="center"/>
              <w:rPr>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A187829" w14:textId="77777777" w:rsidR="00DB5B06" w:rsidRPr="00CF619A" w:rsidRDefault="00DB5B06" w:rsidP="007E1001">
            <w:pPr>
              <w:jc w:val="center"/>
              <w:rPr>
                <w:szCs w:val="22"/>
                <w:lang w:eastAsia="lv-LV"/>
              </w:rPr>
            </w:pPr>
          </w:p>
        </w:tc>
      </w:tr>
      <w:tr w:rsidR="00DB5B06" w:rsidRPr="00CF619A" w14:paraId="42BA9D13" w14:textId="77777777" w:rsidTr="004F7015">
        <w:trPr>
          <w:cantSplit/>
          <w:trHeight w:val="339"/>
        </w:trPr>
        <w:tc>
          <w:tcPr>
            <w:tcW w:w="0" w:type="auto"/>
            <w:tcBorders>
              <w:top w:val="nil"/>
              <w:left w:val="single" w:sz="4" w:space="0" w:color="auto"/>
              <w:bottom w:val="single" w:sz="4" w:space="0" w:color="auto"/>
              <w:right w:val="single" w:sz="4" w:space="0" w:color="auto"/>
            </w:tcBorders>
            <w:shd w:val="clear" w:color="000000" w:fill="FFFFFF"/>
          </w:tcPr>
          <w:p w14:paraId="759AF179"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542EAC29" w14:textId="3C670184" w:rsidR="00DB5B06" w:rsidRPr="00280D78" w:rsidRDefault="00DB5B06" w:rsidP="007E1001">
            <w:pPr>
              <w:rPr>
                <w:color w:val="000000" w:themeColor="text1"/>
                <w:szCs w:val="22"/>
                <w:lang w:eastAsia="lv-LV"/>
              </w:rPr>
            </w:pPr>
            <w:r w:rsidRPr="00280D78">
              <w:rPr>
                <w:color w:val="000000" w:themeColor="text1"/>
                <w:szCs w:val="22"/>
                <w:lang w:eastAsia="lv-LV"/>
              </w:rPr>
              <w:t>Iesniegts apliecinājums par preču garantiju</w:t>
            </w:r>
          </w:p>
        </w:tc>
        <w:tc>
          <w:tcPr>
            <w:tcW w:w="0" w:type="auto"/>
            <w:tcBorders>
              <w:top w:val="nil"/>
              <w:left w:val="nil"/>
              <w:bottom w:val="single" w:sz="4" w:space="0" w:color="auto"/>
              <w:right w:val="single" w:sz="4" w:space="0" w:color="auto"/>
            </w:tcBorders>
            <w:shd w:val="clear" w:color="000000" w:fill="FFFFFF"/>
          </w:tcPr>
          <w:p w14:paraId="1D8F8ED1" w14:textId="32AA8F72" w:rsidR="00DB5B06" w:rsidRPr="00280D78" w:rsidRDefault="00DB5B06" w:rsidP="007E1001">
            <w:pPr>
              <w:jc w:val="center"/>
              <w:rPr>
                <w:szCs w:val="22"/>
                <w:lang w:eastAsia="lv-LV"/>
              </w:rPr>
            </w:pPr>
            <w:r w:rsidRPr="00280D78">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2766AD50" w14:textId="77777777" w:rsidR="00DB5B06" w:rsidRPr="00CF619A" w:rsidRDefault="00DB5B06" w:rsidP="007E1001">
            <w:pPr>
              <w:jc w:val="center"/>
              <w:rPr>
                <w:szCs w:val="22"/>
                <w:lang w:eastAsia="lv-LV"/>
              </w:rPr>
            </w:pPr>
          </w:p>
        </w:tc>
      </w:tr>
      <w:tr w:rsidR="00DB5B06" w:rsidRPr="00CF619A" w14:paraId="50EF0C35" w14:textId="77777777" w:rsidTr="00486A3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A9D5FC" w14:textId="361FF657" w:rsidR="00DB5B06" w:rsidRPr="00CF619A" w:rsidRDefault="00DB5B06" w:rsidP="007E1001">
            <w:pPr>
              <w:contextualSpacing/>
              <w:rPr>
                <w:rFonts w:eastAsiaTheme="minorHAnsi"/>
                <w:noProof/>
                <w:szCs w:val="22"/>
                <w:vertAlign w:val="superscript"/>
                <w:lang w:eastAsia="lv-LV"/>
              </w:rPr>
            </w:pPr>
            <w:r w:rsidRPr="00CF619A">
              <w:rPr>
                <w:rFonts w:eastAsiaTheme="minorHAnsi"/>
                <w:b/>
                <w:bCs/>
                <w:noProof/>
                <w:szCs w:val="22"/>
                <w:lang w:eastAsia="lv-LV"/>
              </w:rPr>
              <w:t xml:space="preserve">Tehniskā informācija </w:t>
            </w:r>
            <w:r w:rsidRPr="00CF619A">
              <w:rPr>
                <w:rFonts w:eastAsiaTheme="minorHAnsi"/>
                <w:b/>
                <w:bCs/>
                <w:noProof/>
                <w:szCs w:val="22"/>
                <w:vertAlign w:val="superscript"/>
                <w:lang w:eastAsia="lv-LV"/>
              </w:rPr>
              <w:footnoteReference w:id="9"/>
            </w: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60831E74" w14:textId="77777777" w:rsidR="00DB5B06" w:rsidRPr="00CF619A" w:rsidRDefault="00DB5B06" w:rsidP="007E1001">
            <w:pPr>
              <w:jc w:val="center"/>
              <w:rPr>
                <w:szCs w:val="22"/>
                <w:lang w:eastAsia="lv-LV"/>
              </w:rPr>
            </w:pPr>
          </w:p>
        </w:tc>
      </w:tr>
      <w:tr w:rsidR="00DB5B06" w:rsidRPr="00CF619A" w14:paraId="4266F5B3"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434BA"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BDDB" w14:textId="6787710E" w:rsidR="00DB5B06" w:rsidRPr="003D6EDE" w:rsidRDefault="00DB5B06" w:rsidP="007E1001">
            <w:pPr>
              <w:rPr>
                <w:szCs w:val="22"/>
              </w:rPr>
            </w:pPr>
            <w:r w:rsidRPr="003D6EDE">
              <w:rPr>
                <w:szCs w:val="22"/>
              </w:rPr>
              <w:t>Augstas redzamības, pret elektriskā loka iedarbību, antistatisks, uguns izturīgs, vēja un ūdens necaurlaidīgs, elpojošs, ar netīrumu un eļļas atgrūšanas spējām u.c. zemāk minētajām prasībām</w:t>
            </w:r>
          </w:p>
        </w:tc>
        <w:tc>
          <w:tcPr>
            <w:tcW w:w="0" w:type="auto"/>
            <w:tcBorders>
              <w:top w:val="single" w:sz="4" w:space="0" w:color="auto"/>
              <w:left w:val="nil"/>
              <w:bottom w:val="single" w:sz="4" w:space="0" w:color="auto"/>
              <w:right w:val="single" w:sz="4" w:space="0" w:color="auto"/>
            </w:tcBorders>
            <w:shd w:val="clear" w:color="auto" w:fill="auto"/>
          </w:tcPr>
          <w:p w14:paraId="121B3ED2" w14:textId="7AC9275E" w:rsidR="00DB5B06" w:rsidRPr="003D6EDE" w:rsidRDefault="00DB5B06" w:rsidP="007E1001">
            <w:pPr>
              <w:jc w:val="center"/>
              <w:rPr>
                <w:szCs w:val="22"/>
                <w:lang w:eastAsia="lv-LV"/>
              </w:rPr>
            </w:pPr>
            <w:r w:rsidRPr="003D6EDE">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3A45C3F9" w14:textId="77777777" w:rsidR="00DB5B06" w:rsidRPr="00CF619A" w:rsidRDefault="00DB5B06" w:rsidP="007E1001">
            <w:pPr>
              <w:jc w:val="center"/>
              <w:rPr>
                <w:szCs w:val="22"/>
                <w:lang w:eastAsia="lv-LV"/>
              </w:rPr>
            </w:pPr>
          </w:p>
        </w:tc>
      </w:tr>
      <w:tr w:rsidR="00DB5B06" w:rsidRPr="00CF619A" w14:paraId="59670B5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1E070F"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918F" w14:textId="1F2297ED" w:rsidR="00DB5B06" w:rsidRPr="003D6EDE" w:rsidRDefault="00DB5B06" w:rsidP="007E1001">
            <w:pPr>
              <w:rPr>
                <w:szCs w:val="22"/>
              </w:rPr>
            </w:pPr>
            <w:r w:rsidRPr="003D6EDE">
              <w:rPr>
                <w:rFonts w:eastAsiaTheme="minorHAnsi"/>
                <w:szCs w:val="22"/>
              </w:rPr>
              <w:t>Elektriskā loka robežvērtība</w:t>
            </w:r>
            <w:r w:rsidRPr="003D6EDE">
              <w:rPr>
                <w:szCs w:val="22"/>
              </w:rPr>
              <w:t xml:space="preserve"> ATPV vai E</w:t>
            </w:r>
            <w:r w:rsidRPr="003D6EDE">
              <w:rPr>
                <w:szCs w:val="22"/>
                <w:vertAlign w:val="subscript"/>
              </w:rPr>
              <w:t xml:space="preserve">BT50 </w:t>
            </w:r>
            <w:r w:rsidRPr="003D6EDE">
              <w:rPr>
                <w:szCs w:val="22"/>
              </w:rPr>
              <w:t xml:space="preserve">(EBT) (LVS EN 61482-1-1:2009, LVS EN IEC 61482-1-1:2019 vai ekvivalents), ja veikts attiecīgais tests, </w:t>
            </w:r>
            <w:proofErr w:type="spellStart"/>
            <w:r w:rsidRPr="003D6EDE">
              <w:rPr>
                <w:szCs w:val="22"/>
              </w:rPr>
              <w:t>cal</w:t>
            </w:r>
            <w:proofErr w:type="spellEnd"/>
            <w:r w:rsidRPr="003D6EDE">
              <w:rPr>
                <w:szCs w:val="22"/>
              </w:rPr>
              <w:t>/</w:t>
            </w:r>
            <w:r w:rsidRPr="003D6EDE">
              <w:rPr>
                <w:szCs w:val="22"/>
                <w:lang w:eastAsia="lv-LV"/>
              </w:rPr>
              <w:t>cm</w:t>
            </w:r>
            <w:r w:rsidRPr="003D6EDE">
              <w:rPr>
                <w:szCs w:val="22"/>
                <w:vertAlign w:val="superscript"/>
                <w:lang w:eastAsia="lv-LV"/>
              </w:rPr>
              <w:t xml:space="preserve">2 </w:t>
            </w:r>
          </w:p>
        </w:tc>
        <w:tc>
          <w:tcPr>
            <w:tcW w:w="0" w:type="auto"/>
            <w:tcBorders>
              <w:top w:val="single" w:sz="4" w:space="0" w:color="auto"/>
              <w:left w:val="nil"/>
              <w:bottom w:val="single" w:sz="4" w:space="0" w:color="auto"/>
              <w:right w:val="single" w:sz="4" w:space="0" w:color="auto"/>
            </w:tcBorders>
            <w:shd w:val="clear" w:color="auto" w:fill="auto"/>
          </w:tcPr>
          <w:p w14:paraId="6E39DCE2" w14:textId="35D0C89F" w:rsidR="00DB5B06" w:rsidRPr="003D6EDE" w:rsidRDefault="003D6EDE" w:rsidP="007E1001">
            <w:pPr>
              <w:jc w:val="center"/>
              <w:rPr>
                <w:szCs w:val="22"/>
                <w:lang w:eastAsia="lv-LV"/>
              </w:rPr>
            </w:pPr>
            <w:r w:rsidRPr="003D6EDE">
              <w:rPr>
                <w:szCs w:val="22"/>
              </w:rPr>
              <w:t>(</w:t>
            </w:r>
            <w:r w:rsidR="00DB5B06" w:rsidRPr="003D6EDE">
              <w:rPr>
                <w:szCs w:val="22"/>
                <w:lang w:eastAsia="lv-LV"/>
              </w:rPr>
              <w:t xml:space="preserve">56 </w:t>
            </w:r>
            <w:proofErr w:type="spellStart"/>
            <w:r w:rsidR="00DB5B06" w:rsidRPr="003D6EDE">
              <w:rPr>
                <w:szCs w:val="22"/>
                <w:lang w:eastAsia="lv-LV"/>
              </w:rPr>
              <w:t>cal</w:t>
            </w:r>
            <w:proofErr w:type="spellEnd"/>
            <w:r w:rsidR="00DB5B06" w:rsidRPr="003D6EDE">
              <w:rPr>
                <w:szCs w:val="22"/>
                <w:lang w:eastAsia="lv-LV"/>
              </w:rPr>
              <w:t>/cm²)</w:t>
            </w:r>
          </w:p>
        </w:tc>
        <w:tc>
          <w:tcPr>
            <w:tcW w:w="0" w:type="auto"/>
            <w:tcBorders>
              <w:top w:val="single" w:sz="4" w:space="0" w:color="auto"/>
              <w:left w:val="nil"/>
              <w:bottom w:val="single" w:sz="4" w:space="0" w:color="auto"/>
              <w:right w:val="single" w:sz="4" w:space="0" w:color="auto"/>
            </w:tcBorders>
            <w:shd w:val="clear" w:color="auto" w:fill="auto"/>
          </w:tcPr>
          <w:p w14:paraId="3CDBC450" w14:textId="77777777" w:rsidR="00DB5B06" w:rsidRPr="00CF619A" w:rsidRDefault="00DB5B06" w:rsidP="007E1001">
            <w:pPr>
              <w:jc w:val="center"/>
              <w:rPr>
                <w:szCs w:val="22"/>
                <w:lang w:eastAsia="lv-LV"/>
              </w:rPr>
            </w:pPr>
          </w:p>
        </w:tc>
      </w:tr>
      <w:tr w:rsidR="00DB5B06" w:rsidRPr="00CF619A" w14:paraId="14B1740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BB1B"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8E4FB" w14:textId="712872CD" w:rsidR="00DB5B06" w:rsidRPr="003D6EDE" w:rsidRDefault="00DB5B06" w:rsidP="007E1001">
            <w:pPr>
              <w:rPr>
                <w:szCs w:val="22"/>
              </w:rPr>
            </w:pPr>
            <w:r w:rsidRPr="003D6EDE">
              <w:rPr>
                <w:szCs w:val="22"/>
              </w:rPr>
              <w:t xml:space="preserve">Elektriskā loka robežvērtība ELIM </w:t>
            </w:r>
            <w:r w:rsidRPr="003D6EDE">
              <w:rPr>
                <w:szCs w:val="22"/>
                <w:lang w:eastAsia="lv-LV"/>
              </w:rPr>
              <w:t>(</w:t>
            </w:r>
            <w:r w:rsidRPr="003D6EDE">
              <w:rPr>
                <w:szCs w:val="22"/>
              </w:rPr>
              <w:t>LVS EN IEC 61482-1-1:2019</w:t>
            </w:r>
            <w:r w:rsidRPr="003D6EDE">
              <w:t xml:space="preserve"> </w:t>
            </w:r>
            <w:r w:rsidRPr="003D6EDE">
              <w:rPr>
                <w:szCs w:val="22"/>
              </w:rPr>
              <w:t xml:space="preserve">vai ekvivalents), ja veikts attiecīgais tests, </w:t>
            </w:r>
            <w:proofErr w:type="spellStart"/>
            <w:r w:rsidRPr="003D6EDE">
              <w:rPr>
                <w:szCs w:val="22"/>
              </w:rPr>
              <w:t>cal</w:t>
            </w:r>
            <w:proofErr w:type="spellEnd"/>
            <w:r w:rsidRPr="003D6EDE">
              <w:rPr>
                <w:szCs w:val="22"/>
              </w:rPr>
              <w:t>/</w:t>
            </w:r>
            <w:r w:rsidRPr="003D6EDE">
              <w:rPr>
                <w:szCs w:val="22"/>
                <w:lang w:eastAsia="lv-LV"/>
              </w:rPr>
              <w:t>cm</w:t>
            </w:r>
            <w:r w:rsidRPr="003D6EDE">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505559C8" w14:textId="2D3EAF6D" w:rsidR="00DB5B06" w:rsidRPr="003D6EDE" w:rsidRDefault="00DB5B06" w:rsidP="007E1001">
            <w:pPr>
              <w:jc w:val="center"/>
              <w:rPr>
                <w:szCs w:val="22"/>
                <w:lang w:eastAsia="lv-LV"/>
              </w:rPr>
            </w:pPr>
            <w:r w:rsidRPr="003D6EDE">
              <w:rPr>
                <w:szCs w:val="22"/>
                <w:lang w:eastAsia="lv-LV"/>
              </w:rPr>
              <w:t xml:space="preserve">27 </w:t>
            </w:r>
          </w:p>
        </w:tc>
        <w:tc>
          <w:tcPr>
            <w:tcW w:w="0" w:type="auto"/>
            <w:tcBorders>
              <w:top w:val="single" w:sz="4" w:space="0" w:color="auto"/>
              <w:left w:val="nil"/>
              <w:bottom w:val="single" w:sz="4" w:space="0" w:color="auto"/>
              <w:right w:val="single" w:sz="4" w:space="0" w:color="auto"/>
            </w:tcBorders>
            <w:shd w:val="clear" w:color="auto" w:fill="auto"/>
          </w:tcPr>
          <w:p w14:paraId="75623D5F" w14:textId="77777777" w:rsidR="00DB5B06" w:rsidRPr="00CF619A" w:rsidRDefault="00DB5B06" w:rsidP="007E1001">
            <w:pPr>
              <w:jc w:val="center"/>
              <w:rPr>
                <w:szCs w:val="22"/>
                <w:lang w:eastAsia="lv-LV"/>
              </w:rPr>
            </w:pPr>
          </w:p>
        </w:tc>
      </w:tr>
      <w:tr w:rsidR="00DB5B06" w:rsidRPr="00CF619A" w14:paraId="51165C51"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D21E8"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BAAA" w14:textId="207743BA" w:rsidR="00DB5B06" w:rsidRPr="003D6EDE" w:rsidRDefault="00DB5B06" w:rsidP="007E1001">
            <w:pPr>
              <w:rPr>
                <w:szCs w:val="22"/>
              </w:rPr>
            </w:pPr>
            <w:proofErr w:type="spellStart"/>
            <w:r w:rsidRPr="003D6EDE">
              <w:rPr>
                <w:szCs w:val="22"/>
              </w:rPr>
              <w:t>Lokdrošības</w:t>
            </w:r>
            <w:proofErr w:type="spellEnd"/>
            <w:r w:rsidRPr="003D6EDE">
              <w:rPr>
                <w:szCs w:val="22"/>
              </w:rPr>
              <w:t xml:space="preserve"> klase APC (LVS EN 61482-1-2:2015</w:t>
            </w:r>
            <w:r w:rsidRPr="003D6EDE">
              <w:t xml:space="preserve"> </w:t>
            </w:r>
            <w:r w:rsidRPr="003D6EDE">
              <w:rPr>
                <w:szCs w:val="22"/>
              </w:rPr>
              <w:t>vai ekvivalents)</w:t>
            </w:r>
          </w:p>
        </w:tc>
        <w:tc>
          <w:tcPr>
            <w:tcW w:w="0" w:type="auto"/>
            <w:tcBorders>
              <w:top w:val="single" w:sz="4" w:space="0" w:color="auto"/>
              <w:left w:val="nil"/>
              <w:bottom w:val="single" w:sz="4" w:space="0" w:color="auto"/>
              <w:right w:val="single" w:sz="4" w:space="0" w:color="auto"/>
            </w:tcBorders>
            <w:shd w:val="clear" w:color="auto" w:fill="auto"/>
          </w:tcPr>
          <w:p w14:paraId="0C67EF7E" w14:textId="2AAB6FC1" w:rsidR="00DB5B06" w:rsidRPr="003D6EDE" w:rsidRDefault="00DB5B06" w:rsidP="007E1001">
            <w:pPr>
              <w:jc w:val="center"/>
              <w:rPr>
                <w:szCs w:val="22"/>
                <w:lang w:eastAsia="lv-LV"/>
              </w:rPr>
            </w:pPr>
            <w:r w:rsidRPr="003D6EDE">
              <w:rPr>
                <w:szCs w:val="22"/>
                <w:lang w:eastAsia="lv-LV"/>
              </w:rPr>
              <w:t xml:space="preserve">Klase 2 </w:t>
            </w:r>
          </w:p>
        </w:tc>
        <w:tc>
          <w:tcPr>
            <w:tcW w:w="0" w:type="auto"/>
            <w:tcBorders>
              <w:top w:val="single" w:sz="4" w:space="0" w:color="auto"/>
              <w:left w:val="nil"/>
              <w:bottom w:val="single" w:sz="4" w:space="0" w:color="auto"/>
              <w:right w:val="single" w:sz="4" w:space="0" w:color="auto"/>
            </w:tcBorders>
            <w:shd w:val="clear" w:color="auto" w:fill="auto"/>
          </w:tcPr>
          <w:p w14:paraId="0A5B5F30" w14:textId="77777777" w:rsidR="00DB5B06" w:rsidRPr="00CF619A" w:rsidRDefault="00DB5B06" w:rsidP="007E1001">
            <w:pPr>
              <w:jc w:val="center"/>
              <w:rPr>
                <w:szCs w:val="22"/>
                <w:lang w:eastAsia="lv-LV"/>
              </w:rPr>
            </w:pPr>
          </w:p>
        </w:tc>
      </w:tr>
      <w:tr w:rsidR="00DB5B06" w:rsidRPr="00CF619A" w14:paraId="6D17253B"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05F4C"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D892" w14:textId="2A9E8CF7" w:rsidR="00DB5B06" w:rsidRPr="003D6EDE" w:rsidRDefault="00DB5B06" w:rsidP="007E1001">
            <w:pPr>
              <w:rPr>
                <w:szCs w:val="22"/>
              </w:rPr>
            </w:pPr>
            <w:r w:rsidRPr="003D6EDE">
              <w:rPr>
                <w:bCs/>
                <w:szCs w:val="22"/>
                <w:lang w:eastAsia="lv-LV"/>
              </w:rPr>
              <w:t xml:space="preserve">Aizsardzības līmenis pret </w:t>
            </w:r>
            <w:r w:rsidRPr="003D6EDE">
              <w:rPr>
                <w:szCs w:val="22"/>
              </w:rPr>
              <w:t>virsmas aizdegšanos (LVS EN ISO 11612:2015 vai ekvivalents)</w:t>
            </w:r>
          </w:p>
        </w:tc>
        <w:tc>
          <w:tcPr>
            <w:tcW w:w="0" w:type="auto"/>
            <w:tcBorders>
              <w:top w:val="single" w:sz="4" w:space="0" w:color="auto"/>
              <w:left w:val="nil"/>
              <w:bottom w:val="single" w:sz="4" w:space="0" w:color="auto"/>
              <w:right w:val="single" w:sz="4" w:space="0" w:color="auto"/>
            </w:tcBorders>
            <w:shd w:val="clear" w:color="auto" w:fill="auto"/>
          </w:tcPr>
          <w:p w14:paraId="6FE563CE" w14:textId="58DCBF10" w:rsidR="00DB5B06" w:rsidRPr="003D6EDE" w:rsidRDefault="00DB5B06" w:rsidP="007E1001">
            <w:pPr>
              <w:jc w:val="center"/>
              <w:rPr>
                <w:szCs w:val="22"/>
                <w:lang w:eastAsia="lv-LV"/>
              </w:rPr>
            </w:pPr>
            <w:r w:rsidRPr="003D6EDE">
              <w:rPr>
                <w:szCs w:val="22"/>
                <w:lang w:eastAsia="lv-LV"/>
              </w:rPr>
              <w:t xml:space="preserve">A1  </w:t>
            </w:r>
          </w:p>
        </w:tc>
        <w:tc>
          <w:tcPr>
            <w:tcW w:w="0" w:type="auto"/>
            <w:tcBorders>
              <w:top w:val="single" w:sz="4" w:space="0" w:color="auto"/>
              <w:left w:val="nil"/>
              <w:bottom w:val="single" w:sz="4" w:space="0" w:color="auto"/>
              <w:right w:val="single" w:sz="4" w:space="0" w:color="auto"/>
            </w:tcBorders>
            <w:shd w:val="clear" w:color="auto" w:fill="auto"/>
          </w:tcPr>
          <w:p w14:paraId="4E32BEF6" w14:textId="77777777" w:rsidR="00DB5B06" w:rsidRPr="00CF619A" w:rsidRDefault="00DB5B06" w:rsidP="007E1001">
            <w:pPr>
              <w:jc w:val="center"/>
              <w:rPr>
                <w:szCs w:val="22"/>
                <w:lang w:eastAsia="lv-LV"/>
              </w:rPr>
            </w:pPr>
          </w:p>
        </w:tc>
      </w:tr>
      <w:tr w:rsidR="00DB5B06" w:rsidRPr="00CF619A" w14:paraId="2A284C9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457E"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2AC66" w14:textId="64E73373" w:rsidR="00DB5B06" w:rsidRPr="003D6EDE" w:rsidRDefault="00DB5B06" w:rsidP="007E1001">
            <w:pPr>
              <w:rPr>
                <w:bCs/>
                <w:szCs w:val="22"/>
                <w:lang w:eastAsia="lv-LV"/>
              </w:rPr>
            </w:pPr>
            <w:r w:rsidRPr="003D6EDE">
              <w:rPr>
                <w:bCs/>
                <w:szCs w:val="22"/>
                <w:lang w:eastAsia="lv-LV"/>
              </w:rPr>
              <w:t xml:space="preserve">Aizsardzības līmenis pret konvekcijas karstumu (1-3) </w:t>
            </w:r>
            <w:r w:rsidRPr="003D6EDE">
              <w:rPr>
                <w:szCs w:val="22"/>
              </w:rPr>
              <w:t>(LVS EN ISO 11612:2015</w:t>
            </w:r>
            <w:r w:rsidRPr="003D6EDE">
              <w:t xml:space="preserve"> </w:t>
            </w:r>
            <w:r w:rsidRPr="003D6EDE">
              <w:rPr>
                <w:szCs w:val="22"/>
              </w:rPr>
              <w:t>vai ekvivalents)</w:t>
            </w:r>
          </w:p>
        </w:tc>
        <w:tc>
          <w:tcPr>
            <w:tcW w:w="0" w:type="auto"/>
            <w:tcBorders>
              <w:top w:val="single" w:sz="4" w:space="0" w:color="auto"/>
              <w:left w:val="nil"/>
              <w:bottom w:val="single" w:sz="4" w:space="0" w:color="auto"/>
              <w:right w:val="single" w:sz="4" w:space="0" w:color="auto"/>
            </w:tcBorders>
            <w:shd w:val="clear" w:color="auto" w:fill="auto"/>
          </w:tcPr>
          <w:p w14:paraId="699C6C51" w14:textId="64BEA6AF" w:rsidR="00DB5B06" w:rsidRPr="003D6EDE" w:rsidRDefault="00DB5B06" w:rsidP="007E1001">
            <w:pPr>
              <w:jc w:val="center"/>
              <w:rPr>
                <w:szCs w:val="22"/>
                <w:lang w:eastAsia="lv-LV"/>
              </w:rPr>
            </w:pPr>
            <w:r w:rsidRPr="003D6EDE">
              <w:rPr>
                <w:szCs w:val="22"/>
                <w:lang w:eastAsia="lv-LV"/>
              </w:rPr>
              <w:t>B1</w:t>
            </w:r>
          </w:p>
        </w:tc>
        <w:tc>
          <w:tcPr>
            <w:tcW w:w="0" w:type="auto"/>
            <w:tcBorders>
              <w:top w:val="single" w:sz="4" w:space="0" w:color="auto"/>
              <w:left w:val="nil"/>
              <w:bottom w:val="single" w:sz="4" w:space="0" w:color="auto"/>
              <w:right w:val="single" w:sz="4" w:space="0" w:color="auto"/>
            </w:tcBorders>
            <w:shd w:val="clear" w:color="auto" w:fill="auto"/>
          </w:tcPr>
          <w:p w14:paraId="30F44029" w14:textId="77777777" w:rsidR="00DB5B06" w:rsidRPr="00CF619A" w:rsidRDefault="00DB5B06" w:rsidP="007E1001">
            <w:pPr>
              <w:jc w:val="center"/>
              <w:rPr>
                <w:szCs w:val="22"/>
                <w:lang w:eastAsia="lv-LV"/>
              </w:rPr>
            </w:pPr>
          </w:p>
        </w:tc>
      </w:tr>
      <w:tr w:rsidR="00DB5B06" w:rsidRPr="00CF619A" w14:paraId="75FE504A"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ED129"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F45A" w14:textId="349FDF81" w:rsidR="00DB5B06" w:rsidRPr="003D6EDE" w:rsidRDefault="00DB5B06" w:rsidP="007E1001">
            <w:pPr>
              <w:rPr>
                <w:bCs/>
                <w:szCs w:val="22"/>
                <w:lang w:eastAsia="lv-LV"/>
              </w:rPr>
            </w:pPr>
            <w:r w:rsidRPr="003D6EDE">
              <w:rPr>
                <w:szCs w:val="22"/>
                <w:lang w:eastAsia="lv-LV"/>
              </w:rPr>
              <w:t xml:space="preserve">Aizsardzības līmenis pret starojuma karstumu (1-4) </w:t>
            </w:r>
            <w:r w:rsidRPr="003D6EDE">
              <w:rPr>
                <w:szCs w:val="22"/>
              </w:rPr>
              <w:t>(LVS EN ISO 11612:2015</w:t>
            </w:r>
            <w:r w:rsidRPr="003D6EDE">
              <w:t xml:space="preserve"> </w:t>
            </w:r>
            <w:r w:rsidRPr="003D6EDE">
              <w:rPr>
                <w:szCs w:val="22"/>
              </w:rPr>
              <w:t>vai ekvivalents)</w:t>
            </w:r>
          </w:p>
        </w:tc>
        <w:tc>
          <w:tcPr>
            <w:tcW w:w="0" w:type="auto"/>
            <w:tcBorders>
              <w:top w:val="single" w:sz="4" w:space="0" w:color="auto"/>
              <w:left w:val="nil"/>
              <w:bottom w:val="single" w:sz="4" w:space="0" w:color="auto"/>
              <w:right w:val="single" w:sz="4" w:space="0" w:color="auto"/>
            </w:tcBorders>
            <w:shd w:val="clear" w:color="auto" w:fill="auto"/>
          </w:tcPr>
          <w:p w14:paraId="0DFCEE1A" w14:textId="01399EF8" w:rsidR="00DB5B06" w:rsidRPr="003D6EDE" w:rsidRDefault="00DB5B06" w:rsidP="007E1001">
            <w:pPr>
              <w:jc w:val="center"/>
              <w:rPr>
                <w:szCs w:val="22"/>
                <w:lang w:eastAsia="lv-LV"/>
              </w:rPr>
            </w:pPr>
            <w:r w:rsidRPr="003D6EDE">
              <w:rPr>
                <w:szCs w:val="22"/>
                <w:lang w:eastAsia="lv-LV"/>
              </w:rPr>
              <w:t>C1</w:t>
            </w:r>
          </w:p>
        </w:tc>
        <w:tc>
          <w:tcPr>
            <w:tcW w:w="0" w:type="auto"/>
            <w:tcBorders>
              <w:top w:val="single" w:sz="4" w:space="0" w:color="auto"/>
              <w:left w:val="nil"/>
              <w:bottom w:val="single" w:sz="4" w:space="0" w:color="auto"/>
              <w:right w:val="single" w:sz="4" w:space="0" w:color="auto"/>
            </w:tcBorders>
            <w:shd w:val="clear" w:color="auto" w:fill="auto"/>
          </w:tcPr>
          <w:p w14:paraId="3B4700E9" w14:textId="77777777" w:rsidR="00DB5B06" w:rsidRPr="00CF619A" w:rsidRDefault="00DB5B06" w:rsidP="007E1001">
            <w:pPr>
              <w:jc w:val="center"/>
              <w:rPr>
                <w:szCs w:val="22"/>
                <w:lang w:eastAsia="lv-LV"/>
              </w:rPr>
            </w:pPr>
          </w:p>
        </w:tc>
      </w:tr>
      <w:tr w:rsidR="00DB5B06" w:rsidRPr="00CF619A" w14:paraId="0D90697D"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B1F5E"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F35FD" w14:textId="279ABA2E" w:rsidR="00DB5B06" w:rsidRPr="003D6EDE" w:rsidRDefault="00DB5B06" w:rsidP="007E1001">
            <w:pPr>
              <w:rPr>
                <w:szCs w:val="22"/>
              </w:rPr>
            </w:pPr>
            <w:r w:rsidRPr="003D6EDE">
              <w:rPr>
                <w:szCs w:val="22"/>
              </w:rPr>
              <w:t xml:space="preserve">Ūdens </w:t>
            </w:r>
            <w:proofErr w:type="spellStart"/>
            <w:r w:rsidRPr="003D6EDE">
              <w:rPr>
                <w:szCs w:val="22"/>
              </w:rPr>
              <w:t>necaurlaidības</w:t>
            </w:r>
            <w:proofErr w:type="spellEnd"/>
            <w:r w:rsidRPr="003D6EDE">
              <w:rPr>
                <w:szCs w:val="22"/>
              </w:rPr>
              <w:t xml:space="preserve"> WP klase (1-3; LVS EN 343+A1:2007+AC:2010</w:t>
            </w:r>
            <w:r w:rsidRPr="003D6EDE">
              <w:t xml:space="preserve"> </w:t>
            </w:r>
            <w:r w:rsidRPr="003D6EDE">
              <w:rPr>
                <w:szCs w:val="22"/>
              </w:rPr>
              <w:t xml:space="preserve">vai ekvivalents) </w:t>
            </w:r>
            <w:r w:rsidRPr="003D6EDE">
              <w:rPr>
                <w:bCs/>
                <w:szCs w:val="22"/>
              </w:rPr>
              <w:t>vai</w:t>
            </w:r>
            <w:r w:rsidRPr="003D6EDE">
              <w:rPr>
                <w:szCs w:val="22"/>
              </w:rPr>
              <w:t xml:space="preserve"> (1-4; LVS EN 343:2019</w:t>
            </w:r>
            <w:r w:rsidRPr="003D6EDE">
              <w:t xml:space="preserve"> </w:t>
            </w:r>
            <w:r w:rsidRPr="003D6EDE">
              <w:rPr>
                <w:szCs w:val="22"/>
              </w:rPr>
              <w:t xml:space="preserve">vai ekvivalents) (norādīt atbilstošo standarta versiju)                       </w:t>
            </w:r>
          </w:p>
        </w:tc>
        <w:tc>
          <w:tcPr>
            <w:tcW w:w="0" w:type="auto"/>
            <w:tcBorders>
              <w:top w:val="single" w:sz="4" w:space="0" w:color="auto"/>
              <w:left w:val="nil"/>
              <w:bottom w:val="single" w:sz="4" w:space="0" w:color="auto"/>
              <w:right w:val="single" w:sz="4" w:space="0" w:color="auto"/>
            </w:tcBorders>
            <w:shd w:val="clear" w:color="auto" w:fill="auto"/>
          </w:tcPr>
          <w:p w14:paraId="1A56E069" w14:textId="36026B04" w:rsidR="00DB5B06" w:rsidRPr="00932053" w:rsidRDefault="00DB5B06" w:rsidP="007E1001">
            <w:pPr>
              <w:jc w:val="center"/>
              <w:rPr>
                <w:szCs w:val="22"/>
                <w:lang w:eastAsia="lv-LV"/>
              </w:rPr>
            </w:pPr>
            <w:r w:rsidRPr="00932053">
              <w:rPr>
                <w:szCs w:val="22"/>
                <w:lang w:eastAsia="lv-LV"/>
              </w:rPr>
              <w:t xml:space="preserve">Klase 3 (WP ≥ 13 000 Pa) vai klase 4 (WP ≥ 20 000 Pa) </w:t>
            </w:r>
          </w:p>
        </w:tc>
        <w:tc>
          <w:tcPr>
            <w:tcW w:w="0" w:type="auto"/>
            <w:tcBorders>
              <w:top w:val="single" w:sz="4" w:space="0" w:color="auto"/>
              <w:left w:val="nil"/>
              <w:bottom w:val="single" w:sz="4" w:space="0" w:color="auto"/>
              <w:right w:val="single" w:sz="4" w:space="0" w:color="auto"/>
            </w:tcBorders>
            <w:shd w:val="clear" w:color="auto" w:fill="auto"/>
          </w:tcPr>
          <w:p w14:paraId="11EBEA26" w14:textId="77777777" w:rsidR="00DB5B06" w:rsidRPr="00CF619A" w:rsidRDefault="00DB5B06" w:rsidP="007E1001">
            <w:pPr>
              <w:jc w:val="center"/>
              <w:rPr>
                <w:szCs w:val="22"/>
                <w:lang w:eastAsia="lv-LV"/>
              </w:rPr>
            </w:pPr>
          </w:p>
        </w:tc>
      </w:tr>
      <w:tr w:rsidR="00DB5B06" w:rsidRPr="00CF619A" w14:paraId="73BA1EBE"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B9921"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8274" w14:textId="10E6498E" w:rsidR="00DB5B06" w:rsidRPr="003D6EDE" w:rsidRDefault="00DB5B06" w:rsidP="007E1001">
            <w:pPr>
              <w:rPr>
                <w:szCs w:val="22"/>
              </w:rPr>
            </w:pPr>
            <w:r w:rsidRPr="003D6EDE">
              <w:rPr>
                <w:szCs w:val="22"/>
              </w:rPr>
              <w:t xml:space="preserve">Ūdens iztvaikošanas pretestības (materiāla "elpošanas" spēja) Ret klase (1-3; LVS EN 343+A1:2007+AC:2010) </w:t>
            </w:r>
            <w:r w:rsidRPr="003D6EDE">
              <w:rPr>
                <w:bCs/>
                <w:szCs w:val="22"/>
              </w:rPr>
              <w:t xml:space="preserve">vai </w:t>
            </w:r>
            <w:r w:rsidRPr="003D6EDE">
              <w:rPr>
                <w:szCs w:val="22"/>
              </w:rPr>
              <w:t>(1-4; LVS EN 343:2019) (norādīt atbilstošo standarta versiju)</w:t>
            </w:r>
          </w:p>
        </w:tc>
        <w:tc>
          <w:tcPr>
            <w:tcW w:w="0" w:type="auto"/>
            <w:tcBorders>
              <w:top w:val="single" w:sz="4" w:space="0" w:color="auto"/>
              <w:left w:val="nil"/>
              <w:bottom w:val="single" w:sz="4" w:space="0" w:color="auto"/>
              <w:right w:val="single" w:sz="4" w:space="0" w:color="auto"/>
            </w:tcBorders>
            <w:shd w:val="clear" w:color="auto" w:fill="auto"/>
          </w:tcPr>
          <w:p w14:paraId="4AFF64BF" w14:textId="62FA106C" w:rsidR="00DB5B06" w:rsidRPr="00CF619A" w:rsidRDefault="00DB5B06" w:rsidP="007E1001">
            <w:pPr>
              <w:jc w:val="center"/>
              <w:rPr>
                <w:szCs w:val="22"/>
                <w:lang w:eastAsia="lv-LV"/>
              </w:rPr>
            </w:pPr>
            <w:r w:rsidRPr="00CF619A">
              <w:rPr>
                <w:szCs w:val="22"/>
                <w:lang w:eastAsia="lv-LV"/>
              </w:rPr>
              <w:t xml:space="preserve">Klase 2 (20 &lt; Ret </w:t>
            </w:r>
            <w:r w:rsidRPr="00CF619A">
              <w:rPr>
                <w:szCs w:val="22"/>
              </w:rPr>
              <w:t xml:space="preserve">≤ 40 </w:t>
            </w:r>
            <w:r w:rsidRPr="00CF619A">
              <w:rPr>
                <w:szCs w:val="22"/>
                <w:lang w:eastAsia="lv-LV"/>
              </w:rPr>
              <w:t>m</w:t>
            </w:r>
            <w:r w:rsidRPr="00CF619A">
              <w:rPr>
                <w:szCs w:val="22"/>
                <w:vertAlign w:val="superscript"/>
                <w:lang w:eastAsia="lv-LV"/>
              </w:rPr>
              <w:t>2</w:t>
            </w:r>
            <w:r w:rsidRPr="00CF619A">
              <w:rPr>
                <w:szCs w:val="22"/>
                <w:lang w:eastAsia="lv-LV"/>
              </w:rPr>
              <w:t>Pa/W</w:t>
            </w:r>
            <w:r w:rsidRPr="00CF619A">
              <w:rPr>
                <w:szCs w:val="22"/>
              </w:rPr>
              <w:t xml:space="preserve">) </w:t>
            </w:r>
            <w:r w:rsidRPr="00CF619A">
              <w:rPr>
                <w:szCs w:val="22"/>
                <w:lang w:eastAsia="lv-LV"/>
              </w:rPr>
              <w:t>vai klase 3 (</w:t>
            </w:r>
            <w:r w:rsidRPr="00CF619A">
              <w:rPr>
                <w:szCs w:val="22"/>
              </w:rPr>
              <w:t xml:space="preserve">Ret ≤ 20 </w:t>
            </w:r>
            <w:r w:rsidRPr="00CF619A">
              <w:rPr>
                <w:szCs w:val="22"/>
                <w:lang w:eastAsia="lv-LV"/>
              </w:rPr>
              <w:t>m</w:t>
            </w:r>
            <w:r w:rsidRPr="00CF619A">
              <w:rPr>
                <w:szCs w:val="22"/>
                <w:vertAlign w:val="superscript"/>
                <w:lang w:eastAsia="lv-LV"/>
              </w:rPr>
              <w:t>2</w:t>
            </w:r>
            <w:r w:rsidRPr="00CF619A">
              <w:rPr>
                <w:szCs w:val="22"/>
                <w:lang w:eastAsia="lv-LV"/>
              </w:rPr>
              <w:t>Pa/W</w:t>
            </w:r>
            <w:r w:rsidRPr="00CF619A">
              <w:rPr>
                <w:szCs w:val="22"/>
              </w:rPr>
              <w:t>)</w:t>
            </w:r>
          </w:p>
        </w:tc>
        <w:tc>
          <w:tcPr>
            <w:tcW w:w="0" w:type="auto"/>
            <w:tcBorders>
              <w:top w:val="single" w:sz="4" w:space="0" w:color="auto"/>
              <w:left w:val="nil"/>
              <w:bottom w:val="single" w:sz="4" w:space="0" w:color="auto"/>
              <w:right w:val="single" w:sz="4" w:space="0" w:color="auto"/>
            </w:tcBorders>
            <w:shd w:val="clear" w:color="auto" w:fill="auto"/>
          </w:tcPr>
          <w:p w14:paraId="42C8CD9A" w14:textId="77777777" w:rsidR="00DB5B06" w:rsidRPr="00CF619A" w:rsidRDefault="00DB5B06" w:rsidP="007E1001">
            <w:pPr>
              <w:jc w:val="center"/>
              <w:rPr>
                <w:szCs w:val="22"/>
                <w:lang w:eastAsia="lv-LV"/>
              </w:rPr>
            </w:pPr>
          </w:p>
        </w:tc>
      </w:tr>
      <w:tr w:rsidR="00DB5B06" w:rsidRPr="00CF619A" w14:paraId="65B46E6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3A65F8"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BA2D" w14:textId="42A07D54" w:rsidR="00DB5B06" w:rsidRPr="003D6EDE" w:rsidRDefault="00DB5B06" w:rsidP="007E1001">
            <w:pPr>
              <w:rPr>
                <w:szCs w:val="22"/>
              </w:rPr>
            </w:pPr>
            <w:r w:rsidRPr="003D6EDE">
              <w:rPr>
                <w:szCs w:val="22"/>
              </w:rPr>
              <w:t xml:space="preserve">Ūdens </w:t>
            </w:r>
            <w:proofErr w:type="spellStart"/>
            <w:r w:rsidRPr="003D6EDE">
              <w:rPr>
                <w:szCs w:val="22"/>
              </w:rPr>
              <w:t>necaurlaidība</w:t>
            </w:r>
            <w:proofErr w:type="spellEnd"/>
            <w:r w:rsidRPr="003D6EDE">
              <w:rPr>
                <w:szCs w:val="22"/>
              </w:rPr>
              <w:t xml:space="preserve"> WP (EN 20811:1992, EN ISO 811:2018 vai ekvivalents), mm H</w:t>
            </w:r>
            <w:r w:rsidRPr="003D6EDE">
              <w:rPr>
                <w:szCs w:val="22"/>
                <w:vertAlign w:val="subscript"/>
              </w:rPr>
              <w:t>2</w:t>
            </w:r>
            <w:r w:rsidRPr="003D6EDE">
              <w:rPr>
                <w:szCs w:val="22"/>
              </w:rPr>
              <w:t>O [Pa]</w:t>
            </w:r>
            <w:r w:rsidRPr="003D6EDE">
              <w:rPr>
                <w:rStyle w:val="FootnoteReference"/>
                <w:szCs w:val="22"/>
              </w:rPr>
              <w:footnoteReference w:id="10"/>
            </w:r>
          </w:p>
        </w:tc>
        <w:tc>
          <w:tcPr>
            <w:tcW w:w="0" w:type="auto"/>
            <w:tcBorders>
              <w:top w:val="single" w:sz="4" w:space="0" w:color="auto"/>
              <w:left w:val="nil"/>
              <w:bottom w:val="single" w:sz="4" w:space="0" w:color="auto"/>
              <w:right w:val="single" w:sz="4" w:space="0" w:color="auto"/>
            </w:tcBorders>
            <w:shd w:val="clear" w:color="auto" w:fill="auto"/>
          </w:tcPr>
          <w:p w14:paraId="05013D72" w14:textId="77777777" w:rsidR="00DB5B06" w:rsidRPr="00CF619A" w:rsidRDefault="00DB5B06" w:rsidP="007E1001">
            <w:pPr>
              <w:jc w:val="center"/>
              <w:rPr>
                <w:szCs w:val="22"/>
              </w:rPr>
            </w:pPr>
            <w:r w:rsidRPr="00CF619A">
              <w:rPr>
                <w:szCs w:val="22"/>
              </w:rPr>
              <w:t>10 000</w:t>
            </w:r>
          </w:p>
          <w:p w14:paraId="1B9F03E0" w14:textId="77777777" w:rsidR="00DB5B06" w:rsidRPr="00CF619A" w:rsidRDefault="00DB5B06" w:rsidP="007E1001">
            <w:pPr>
              <w:jc w:val="center"/>
              <w:rPr>
                <w:szCs w:val="22"/>
                <w:lang w:eastAsia="lv-LV"/>
              </w:rPr>
            </w:pPr>
            <w:r w:rsidRPr="00CF619A">
              <w:rPr>
                <w:szCs w:val="22"/>
              </w:rPr>
              <w:t>[98 039]</w:t>
            </w:r>
          </w:p>
        </w:tc>
        <w:tc>
          <w:tcPr>
            <w:tcW w:w="0" w:type="auto"/>
            <w:tcBorders>
              <w:top w:val="single" w:sz="4" w:space="0" w:color="auto"/>
              <w:left w:val="nil"/>
              <w:bottom w:val="single" w:sz="4" w:space="0" w:color="auto"/>
              <w:right w:val="single" w:sz="4" w:space="0" w:color="auto"/>
            </w:tcBorders>
            <w:shd w:val="clear" w:color="auto" w:fill="auto"/>
            <w:vAlign w:val="center"/>
          </w:tcPr>
          <w:p w14:paraId="3E646A76" w14:textId="77777777" w:rsidR="00DB5B06" w:rsidRPr="00CF619A" w:rsidRDefault="00DB5B06" w:rsidP="007E1001">
            <w:pPr>
              <w:jc w:val="center"/>
              <w:rPr>
                <w:szCs w:val="22"/>
                <w:lang w:eastAsia="lv-LV"/>
              </w:rPr>
            </w:pPr>
          </w:p>
        </w:tc>
      </w:tr>
      <w:tr w:rsidR="00DB5B06" w:rsidRPr="00CF619A" w14:paraId="60D2FB3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C0EA1"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C95" w14:textId="47C4FAEE" w:rsidR="00DB5B06" w:rsidRPr="003D6EDE" w:rsidRDefault="00DB5B06" w:rsidP="007E1001">
            <w:pPr>
              <w:rPr>
                <w:szCs w:val="22"/>
              </w:rPr>
            </w:pPr>
            <w:r w:rsidRPr="003D6EDE">
              <w:rPr>
                <w:szCs w:val="22"/>
              </w:rPr>
              <w:t xml:space="preserve">Ūdens iztvaikošanas pretestība (materiāla "elpošanas" spēja) Ret (EN ISO 11092:2014 vai ekvivalents), </w:t>
            </w:r>
            <w:r w:rsidRPr="003D6EDE">
              <w:rPr>
                <w:szCs w:val="22"/>
                <w:lang w:eastAsia="lv-LV"/>
              </w:rPr>
              <w:t>m</w:t>
            </w:r>
            <w:r w:rsidRPr="003D6EDE">
              <w:rPr>
                <w:szCs w:val="22"/>
                <w:vertAlign w:val="superscript"/>
                <w:lang w:eastAsia="lv-LV"/>
              </w:rPr>
              <w:t>2</w:t>
            </w:r>
            <w:r w:rsidRPr="003D6EDE">
              <w:rPr>
                <w:szCs w:val="22"/>
                <w:lang w:eastAsia="lv-LV"/>
              </w:rPr>
              <w:t>Pa/W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7F517EA6" w14:textId="77777777" w:rsidR="00DB5B06" w:rsidRPr="00CF619A" w:rsidRDefault="00DB5B06" w:rsidP="007E1001">
            <w:pPr>
              <w:jc w:val="center"/>
              <w:rPr>
                <w:szCs w:val="22"/>
                <w:lang w:eastAsia="lv-LV"/>
              </w:rPr>
            </w:pPr>
            <w:r w:rsidRPr="00CF619A">
              <w:rPr>
                <w:szCs w:val="22"/>
              </w:rPr>
              <w:t xml:space="preserve">≤ 25 </w:t>
            </w:r>
          </w:p>
        </w:tc>
        <w:tc>
          <w:tcPr>
            <w:tcW w:w="0" w:type="auto"/>
            <w:tcBorders>
              <w:top w:val="single" w:sz="4" w:space="0" w:color="auto"/>
              <w:left w:val="nil"/>
              <w:bottom w:val="single" w:sz="4" w:space="0" w:color="auto"/>
              <w:right w:val="single" w:sz="4" w:space="0" w:color="auto"/>
            </w:tcBorders>
            <w:shd w:val="clear" w:color="auto" w:fill="auto"/>
          </w:tcPr>
          <w:p w14:paraId="7474B44A" w14:textId="77777777" w:rsidR="00DB5B06" w:rsidRPr="00CF619A" w:rsidRDefault="00DB5B06" w:rsidP="007E1001">
            <w:pPr>
              <w:jc w:val="center"/>
              <w:rPr>
                <w:szCs w:val="22"/>
                <w:lang w:eastAsia="lv-LV"/>
              </w:rPr>
            </w:pPr>
          </w:p>
        </w:tc>
      </w:tr>
      <w:tr w:rsidR="00DB5B06" w:rsidRPr="00CF619A" w14:paraId="050327D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12F9"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09175" w14:textId="121C6BBB" w:rsidR="00DB5B06" w:rsidRPr="003D6EDE" w:rsidRDefault="00DB5B06" w:rsidP="007E1001">
            <w:pPr>
              <w:rPr>
                <w:szCs w:val="22"/>
              </w:rPr>
            </w:pPr>
            <w:r w:rsidRPr="003D6EDE">
              <w:rPr>
                <w:szCs w:val="22"/>
              </w:rPr>
              <w:t xml:space="preserve">Izmantotais virsējā materiāla </w:t>
            </w:r>
            <w:proofErr w:type="spellStart"/>
            <w:r w:rsidRPr="003D6EDE">
              <w:rPr>
                <w:szCs w:val="22"/>
              </w:rPr>
              <w:t>ilgizturīgs</w:t>
            </w:r>
            <w:proofErr w:type="spellEnd"/>
            <w:r w:rsidRPr="003D6EDE">
              <w:rPr>
                <w:szCs w:val="22"/>
              </w:rPr>
              <w:t xml:space="preserve"> ūdens atgrūdošais pārklājums un tā atjaunošanas nosacījumi apģērba lietošanas laikā, pēc mazgāšanas</w:t>
            </w:r>
          </w:p>
        </w:tc>
        <w:tc>
          <w:tcPr>
            <w:tcW w:w="0" w:type="auto"/>
            <w:tcBorders>
              <w:top w:val="single" w:sz="4" w:space="0" w:color="auto"/>
              <w:left w:val="nil"/>
              <w:bottom w:val="single" w:sz="4" w:space="0" w:color="auto"/>
              <w:right w:val="single" w:sz="4" w:space="0" w:color="auto"/>
            </w:tcBorders>
            <w:shd w:val="clear" w:color="auto" w:fill="auto"/>
          </w:tcPr>
          <w:p w14:paraId="0E88F56C" w14:textId="75E549BB" w:rsidR="00DB5B06" w:rsidRPr="00CF619A" w:rsidRDefault="00DB5B06" w:rsidP="007E1001">
            <w:pPr>
              <w:jc w:val="center"/>
              <w:rPr>
                <w:szCs w:val="22"/>
                <w:lang w:eastAsia="lv-LV"/>
              </w:rPr>
            </w:pPr>
            <w:r w:rsidRPr="00CF619A">
              <w:rPr>
                <w:szCs w:val="22"/>
                <w:lang w:eastAsia="lv-LV"/>
              </w:rPr>
              <w:t>Norādīt informāciju</w:t>
            </w:r>
            <w:r>
              <w:rPr>
                <w:szCs w:val="22"/>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373BE163" w14:textId="77777777" w:rsidR="00DB5B06" w:rsidRPr="00CF619A" w:rsidRDefault="00DB5B06" w:rsidP="007E1001">
            <w:pPr>
              <w:jc w:val="center"/>
              <w:rPr>
                <w:szCs w:val="22"/>
                <w:lang w:eastAsia="lv-LV"/>
              </w:rPr>
            </w:pPr>
          </w:p>
        </w:tc>
      </w:tr>
      <w:tr w:rsidR="00DB5B06" w:rsidRPr="00CF619A" w14:paraId="734DAE63"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5BD8"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6964" w14:textId="2A54A30E" w:rsidR="00DB5B06" w:rsidRPr="003D6EDE" w:rsidRDefault="00DB5B06" w:rsidP="007E1001">
            <w:pPr>
              <w:tabs>
                <w:tab w:val="left" w:pos="-2376"/>
              </w:tabs>
              <w:rPr>
                <w:szCs w:val="22"/>
              </w:rPr>
            </w:pPr>
            <w:r w:rsidRPr="003D6EDE">
              <w:rPr>
                <w:szCs w:val="22"/>
              </w:rPr>
              <w:t xml:space="preserve">2.p. minētās kategorijas jakai (≥ M </w:t>
            </w:r>
            <w:proofErr w:type="spellStart"/>
            <w:r w:rsidRPr="003D6EDE">
              <w:rPr>
                <w:szCs w:val="22"/>
              </w:rPr>
              <w:t>izm</w:t>
            </w:r>
            <w:proofErr w:type="spellEnd"/>
            <w:r w:rsidRPr="003D6EDE">
              <w:rPr>
                <w:szCs w:val="22"/>
              </w:rPr>
              <w:t>.) redzamā materiāla klase (1-3) (LVS EN ISO20471:2013/A1:2017+ A1:2017 vai ekvivalents)</w:t>
            </w:r>
          </w:p>
        </w:tc>
        <w:tc>
          <w:tcPr>
            <w:tcW w:w="0" w:type="auto"/>
            <w:tcBorders>
              <w:top w:val="single" w:sz="4" w:space="0" w:color="auto"/>
              <w:left w:val="nil"/>
              <w:bottom w:val="single" w:sz="4" w:space="0" w:color="auto"/>
              <w:right w:val="single" w:sz="4" w:space="0" w:color="auto"/>
            </w:tcBorders>
            <w:shd w:val="clear" w:color="auto" w:fill="auto"/>
          </w:tcPr>
          <w:p w14:paraId="2B2CFC84" w14:textId="1EAF53DA" w:rsidR="00DB5B06" w:rsidRPr="00CF619A" w:rsidDel="00C90BB6" w:rsidRDefault="00DB5B06" w:rsidP="007E1001">
            <w:pPr>
              <w:jc w:val="center"/>
              <w:rPr>
                <w:szCs w:val="22"/>
                <w:lang w:eastAsia="lv-LV"/>
              </w:rPr>
            </w:pPr>
            <w:r w:rsidRPr="00CF619A">
              <w:rPr>
                <w:szCs w:val="22"/>
                <w:lang w:eastAsia="lv-LV"/>
              </w:rPr>
              <w:t xml:space="preserve">Klase </w:t>
            </w:r>
            <w:r w:rsidR="003D6EDE">
              <w:rPr>
                <w:szCs w:val="22"/>
                <w:lang w:eastAsia="lv-LV"/>
              </w:rPr>
              <w:t>3</w:t>
            </w:r>
            <w:r>
              <w:rPr>
                <w:szCs w:val="22"/>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77E02FF6" w14:textId="77777777" w:rsidR="00DB5B06" w:rsidRPr="00CF619A" w:rsidRDefault="00DB5B06" w:rsidP="007E1001">
            <w:pPr>
              <w:jc w:val="center"/>
              <w:rPr>
                <w:szCs w:val="22"/>
                <w:lang w:eastAsia="lv-LV"/>
              </w:rPr>
            </w:pPr>
          </w:p>
        </w:tc>
      </w:tr>
      <w:tr w:rsidR="00DB5B06" w:rsidRPr="00CF619A" w14:paraId="69E94662"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0C7B79"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9B2AA" w14:textId="0E3F17E1" w:rsidR="00DB5B06" w:rsidRPr="007F6DAE" w:rsidRDefault="00DB5B06" w:rsidP="007E1001">
            <w:pPr>
              <w:rPr>
                <w:szCs w:val="22"/>
                <w:vertAlign w:val="superscript"/>
              </w:rPr>
            </w:pPr>
            <w:r w:rsidRPr="007F6DAE">
              <w:rPr>
                <w:szCs w:val="22"/>
              </w:rPr>
              <w:t>Prece ir augstas redzamības (Hi-Vis) dzeltenā krāsā, kombinācijā tumšas krāsas detaļām</w:t>
            </w:r>
            <w:r w:rsidRPr="007F6DAE">
              <w:rPr>
                <w:szCs w:val="22"/>
                <w:vertAlign w:val="superscript"/>
              </w:rPr>
              <w:footnoteReference w:id="11"/>
            </w:r>
          </w:p>
        </w:tc>
        <w:tc>
          <w:tcPr>
            <w:tcW w:w="0" w:type="auto"/>
            <w:tcBorders>
              <w:top w:val="single" w:sz="4" w:space="0" w:color="auto"/>
              <w:left w:val="nil"/>
              <w:bottom w:val="single" w:sz="4" w:space="0" w:color="auto"/>
              <w:right w:val="single" w:sz="4" w:space="0" w:color="auto"/>
            </w:tcBorders>
            <w:shd w:val="clear" w:color="auto" w:fill="auto"/>
          </w:tcPr>
          <w:p w14:paraId="2A79B191" w14:textId="00589AEC" w:rsidR="00DB5B06" w:rsidRPr="007F6DAE" w:rsidRDefault="00DB5B06" w:rsidP="007E1001">
            <w:pPr>
              <w:jc w:val="center"/>
              <w:rPr>
                <w:szCs w:val="22"/>
                <w:lang w:eastAsia="lv-LV"/>
              </w:rPr>
            </w:pPr>
            <w:r w:rsidRPr="007F6DAE">
              <w:rPr>
                <w:szCs w:val="22"/>
                <w:lang w:eastAsia="lv-LV"/>
              </w:rPr>
              <w:t>Atbilst (norādīt informāciju)</w:t>
            </w:r>
          </w:p>
        </w:tc>
        <w:tc>
          <w:tcPr>
            <w:tcW w:w="0" w:type="auto"/>
            <w:tcBorders>
              <w:top w:val="single" w:sz="4" w:space="0" w:color="auto"/>
              <w:left w:val="nil"/>
              <w:bottom w:val="single" w:sz="4" w:space="0" w:color="auto"/>
              <w:right w:val="single" w:sz="4" w:space="0" w:color="auto"/>
            </w:tcBorders>
            <w:shd w:val="clear" w:color="auto" w:fill="auto"/>
          </w:tcPr>
          <w:p w14:paraId="199DD6E1" w14:textId="77777777" w:rsidR="00DB5B06" w:rsidRPr="00CF619A" w:rsidRDefault="00DB5B06" w:rsidP="007E1001">
            <w:pPr>
              <w:jc w:val="center"/>
              <w:rPr>
                <w:szCs w:val="22"/>
                <w:lang w:eastAsia="lv-LV"/>
              </w:rPr>
            </w:pPr>
          </w:p>
        </w:tc>
      </w:tr>
      <w:tr w:rsidR="00DB5B06" w:rsidRPr="00CF619A" w14:paraId="711F9417"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B3577"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DEE9" w14:textId="397F0579" w:rsidR="00DB5B06" w:rsidRPr="003D6EDE" w:rsidRDefault="00DB5B06" w:rsidP="007E1001">
            <w:pPr>
              <w:rPr>
                <w:rFonts w:eastAsiaTheme="minorHAnsi"/>
                <w:szCs w:val="22"/>
                <w:lang w:eastAsia="lv-LV"/>
              </w:rPr>
            </w:pPr>
            <w:r w:rsidRPr="003D6EDE">
              <w:rPr>
                <w:szCs w:val="22"/>
              </w:rPr>
              <w:t>Virsējā materiāla blīvums,</w:t>
            </w:r>
            <w:r w:rsidRPr="003D6EDE">
              <w:rPr>
                <w:rFonts w:eastAsiaTheme="minorHAnsi"/>
                <w:szCs w:val="22"/>
                <w:lang w:eastAsia="lv-LV"/>
              </w:rPr>
              <w:t xml:space="preserve"> g/m²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526A71D3" w14:textId="363D3DA5" w:rsidR="00DB5B06" w:rsidRPr="003D6EDE" w:rsidRDefault="00DB5B06" w:rsidP="007E1001">
            <w:pPr>
              <w:jc w:val="center"/>
              <w:rPr>
                <w:szCs w:val="22"/>
                <w:lang w:eastAsia="lv-LV"/>
              </w:rPr>
            </w:pPr>
            <w:r w:rsidRPr="003D6EDE">
              <w:rPr>
                <w:szCs w:val="22"/>
                <w:lang w:eastAsia="lv-LV"/>
              </w:rPr>
              <w:t xml:space="preserve">&lt; </w:t>
            </w:r>
            <w:r w:rsidRPr="003D6EDE">
              <w:rPr>
                <w:rFonts w:eastAsiaTheme="minorHAnsi"/>
                <w:szCs w:val="22"/>
                <w:lang w:eastAsia="lv-LV"/>
              </w:rPr>
              <w:t>365</w:t>
            </w:r>
          </w:p>
        </w:tc>
        <w:tc>
          <w:tcPr>
            <w:tcW w:w="0" w:type="auto"/>
            <w:tcBorders>
              <w:top w:val="single" w:sz="4" w:space="0" w:color="auto"/>
              <w:left w:val="nil"/>
              <w:bottom w:val="single" w:sz="4" w:space="0" w:color="auto"/>
              <w:right w:val="single" w:sz="4" w:space="0" w:color="auto"/>
            </w:tcBorders>
            <w:shd w:val="clear" w:color="auto" w:fill="auto"/>
          </w:tcPr>
          <w:p w14:paraId="589D9C0B" w14:textId="77777777" w:rsidR="00DB5B06" w:rsidRPr="00CF619A" w:rsidRDefault="00DB5B06" w:rsidP="007E1001">
            <w:pPr>
              <w:jc w:val="center"/>
              <w:rPr>
                <w:szCs w:val="22"/>
                <w:lang w:eastAsia="lv-LV"/>
              </w:rPr>
            </w:pPr>
          </w:p>
        </w:tc>
      </w:tr>
      <w:tr w:rsidR="00DB5B06" w:rsidRPr="00CF619A" w14:paraId="6AA04F80"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136B5"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9D6F" w14:textId="2732E015" w:rsidR="00DB5B06" w:rsidRPr="003D6EDE" w:rsidRDefault="00DB5B06" w:rsidP="007E1001">
            <w:pPr>
              <w:rPr>
                <w:szCs w:val="22"/>
              </w:rPr>
            </w:pPr>
            <w:r w:rsidRPr="003D6EDE">
              <w:rPr>
                <w:szCs w:val="22"/>
              </w:rPr>
              <w:t>Oderes materiāla blīvums,</w:t>
            </w:r>
            <w:r w:rsidRPr="003D6EDE">
              <w:rPr>
                <w:rFonts w:eastAsiaTheme="minorHAnsi"/>
                <w:szCs w:val="22"/>
                <w:lang w:eastAsia="lv-LV"/>
              </w:rPr>
              <w:t xml:space="preserve"> g/m²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37D0A9CE" w14:textId="7F877249" w:rsidR="00DB5B06" w:rsidRPr="003D6EDE" w:rsidRDefault="00DB5B06" w:rsidP="007E1001">
            <w:pPr>
              <w:jc w:val="center"/>
              <w:rPr>
                <w:szCs w:val="22"/>
                <w:lang w:eastAsia="lv-LV"/>
              </w:rPr>
            </w:pPr>
            <w:r w:rsidRPr="003D6EDE">
              <w:rPr>
                <w:szCs w:val="22"/>
                <w:lang w:eastAsia="lv-LV"/>
              </w:rPr>
              <w:t xml:space="preserve">&lt; </w:t>
            </w:r>
            <w:r w:rsidRPr="003D6EDE">
              <w:rPr>
                <w:rFonts w:eastAsiaTheme="minorHAnsi"/>
                <w:szCs w:val="22"/>
                <w:lang w:eastAsia="lv-LV"/>
              </w:rPr>
              <w:t>315</w:t>
            </w:r>
          </w:p>
        </w:tc>
        <w:tc>
          <w:tcPr>
            <w:tcW w:w="0" w:type="auto"/>
            <w:tcBorders>
              <w:top w:val="single" w:sz="4" w:space="0" w:color="auto"/>
              <w:left w:val="nil"/>
              <w:bottom w:val="single" w:sz="4" w:space="0" w:color="auto"/>
              <w:right w:val="single" w:sz="4" w:space="0" w:color="auto"/>
            </w:tcBorders>
            <w:shd w:val="clear" w:color="auto" w:fill="auto"/>
          </w:tcPr>
          <w:p w14:paraId="5B0F0EB0" w14:textId="77777777" w:rsidR="00DB5B06" w:rsidRPr="00CF619A" w:rsidRDefault="00DB5B06" w:rsidP="007E1001">
            <w:pPr>
              <w:jc w:val="center"/>
              <w:rPr>
                <w:szCs w:val="22"/>
                <w:lang w:eastAsia="lv-LV"/>
              </w:rPr>
            </w:pPr>
          </w:p>
        </w:tc>
      </w:tr>
      <w:tr w:rsidR="00DB5B06" w:rsidRPr="00CF619A" w14:paraId="778E21A3" w14:textId="77777777" w:rsidTr="00486A3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16C202" w14:textId="795F37FD" w:rsidR="00DB5B06" w:rsidRPr="00CF619A" w:rsidRDefault="00DB5B06" w:rsidP="007E1001">
            <w:pPr>
              <w:rPr>
                <w:b/>
                <w:szCs w:val="22"/>
                <w:lang w:eastAsia="lv-LV"/>
              </w:rPr>
            </w:pPr>
            <w:r w:rsidRPr="00CF619A">
              <w:rPr>
                <w:b/>
                <w:szCs w:val="22"/>
                <w:lang w:eastAsia="lv-LV"/>
              </w:rPr>
              <w:t>Logotips (</w:t>
            </w:r>
            <w:r w:rsidRPr="00CF619A">
              <w:rPr>
                <w:b/>
                <w:szCs w:val="22"/>
              </w:rPr>
              <w:t xml:space="preserve">grafiskā zīme ar burtiem) </w:t>
            </w:r>
            <w:r w:rsidRPr="00CF619A">
              <w:rPr>
                <w:b/>
                <w:szCs w:val="22"/>
                <w:vertAlign w:val="superscript"/>
              </w:rPr>
              <w:footnoteReference w:id="12"/>
            </w:r>
          </w:p>
        </w:tc>
        <w:tc>
          <w:tcPr>
            <w:tcW w:w="0" w:type="auto"/>
            <w:tcBorders>
              <w:top w:val="single" w:sz="4" w:space="0" w:color="auto"/>
              <w:left w:val="nil"/>
              <w:bottom w:val="single" w:sz="4" w:space="0" w:color="auto"/>
              <w:right w:val="single" w:sz="4" w:space="0" w:color="auto"/>
            </w:tcBorders>
            <w:shd w:val="clear" w:color="auto" w:fill="B8CCE4" w:themeFill="accent1" w:themeFillTint="66"/>
          </w:tcPr>
          <w:p w14:paraId="3B1D9EC5" w14:textId="77777777" w:rsidR="00DB5B06" w:rsidRPr="00CF619A" w:rsidRDefault="00DB5B06" w:rsidP="007E1001">
            <w:pPr>
              <w:jc w:val="center"/>
              <w:rPr>
                <w:szCs w:val="22"/>
                <w:lang w:eastAsia="lv-LV"/>
              </w:rPr>
            </w:pPr>
          </w:p>
        </w:tc>
      </w:tr>
      <w:tr w:rsidR="00DB5B06" w:rsidRPr="00CF619A" w14:paraId="4B6A288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D6B18"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23B60" w14:textId="52AD1D08" w:rsidR="00DB5B06" w:rsidRPr="00BC5A93" w:rsidRDefault="00DB5B06" w:rsidP="007E1001">
            <w:pPr>
              <w:rPr>
                <w:szCs w:val="22"/>
              </w:rPr>
            </w:pPr>
            <w:r w:rsidRPr="00BC5A93">
              <w:rPr>
                <w:szCs w:val="22"/>
              </w:rPr>
              <w:t>Uz 2.p. minētās kategorijas jakas ražotāja akceptētajā tehnoloģijā uznests logotips</w:t>
            </w:r>
          </w:p>
        </w:tc>
        <w:tc>
          <w:tcPr>
            <w:tcW w:w="0" w:type="auto"/>
            <w:tcBorders>
              <w:top w:val="single" w:sz="4" w:space="0" w:color="auto"/>
              <w:left w:val="nil"/>
              <w:bottom w:val="single" w:sz="4" w:space="0" w:color="auto"/>
              <w:right w:val="single" w:sz="4" w:space="0" w:color="auto"/>
            </w:tcBorders>
            <w:shd w:val="clear" w:color="auto" w:fill="FFFFFF" w:themeFill="background1"/>
          </w:tcPr>
          <w:p w14:paraId="74DCD2E6" w14:textId="42EE20C7" w:rsidR="00DB5B06" w:rsidRPr="00CF619A" w:rsidRDefault="00DB5B06" w:rsidP="007E1001">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FFFFFF" w:themeFill="background1"/>
          </w:tcPr>
          <w:p w14:paraId="5693B9AA" w14:textId="77777777" w:rsidR="00DB5B06" w:rsidRPr="00CF619A" w:rsidRDefault="00DB5B06" w:rsidP="007E1001">
            <w:pPr>
              <w:jc w:val="center"/>
              <w:rPr>
                <w:szCs w:val="22"/>
                <w:lang w:eastAsia="lv-LV"/>
              </w:rPr>
            </w:pPr>
          </w:p>
        </w:tc>
      </w:tr>
      <w:tr w:rsidR="00DB5B06" w:rsidRPr="00CF619A" w14:paraId="09AA8325" w14:textId="77777777" w:rsidTr="00F1070D">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A1C02C"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3EDC" w14:textId="6222A15A" w:rsidR="00DB5B06" w:rsidRPr="00BC5A93" w:rsidRDefault="00DB5B06" w:rsidP="007E1001">
            <w:pPr>
              <w:rPr>
                <w:szCs w:val="22"/>
              </w:rPr>
            </w:pPr>
            <w:r w:rsidRPr="00BC5A93">
              <w:rPr>
                <w:szCs w:val="22"/>
              </w:rPr>
              <w:t xml:space="preserve">Logotipa krāsa – atstarojoša </w:t>
            </w:r>
          </w:p>
        </w:tc>
        <w:tc>
          <w:tcPr>
            <w:tcW w:w="0" w:type="auto"/>
            <w:tcBorders>
              <w:top w:val="single" w:sz="4" w:space="0" w:color="auto"/>
              <w:left w:val="nil"/>
              <w:bottom w:val="single" w:sz="4" w:space="0" w:color="auto"/>
              <w:right w:val="single" w:sz="4" w:space="0" w:color="auto"/>
            </w:tcBorders>
            <w:shd w:val="clear" w:color="auto" w:fill="auto"/>
          </w:tcPr>
          <w:p w14:paraId="51B666D2" w14:textId="532E7939" w:rsidR="00DB5B06" w:rsidRPr="00CF619A" w:rsidRDefault="00DB5B06" w:rsidP="007E1001">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5D936B84" w14:textId="77777777" w:rsidR="00DB5B06" w:rsidRPr="00CF619A" w:rsidRDefault="00DB5B06" w:rsidP="007E1001">
            <w:pPr>
              <w:jc w:val="center"/>
              <w:rPr>
                <w:szCs w:val="22"/>
                <w:lang w:eastAsia="lv-LV"/>
              </w:rPr>
            </w:pPr>
          </w:p>
        </w:tc>
      </w:tr>
      <w:tr w:rsidR="00DB5B06" w:rsidRPr="00CF619A" w14:paraId="5EA30AFD" w14:textId="77777777" w:rsidTr="00F1070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B5FF5"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D1B09" w14:textId="5B652DF5" w:rsidR="00DB5B06" w:rsidRPr="00BC5A93" w:rsidRDefault="00DB5B06" w:rsidP="007E1001">
            <w:pPr>
              <w:rPr>
                <w:szCs w:val="22"/>
              </w:rPr>
            </w:pPr>
            <w:r w:rsidRPr="00BC5A93">
              <w:rPr>
                <w:szCs w:val="22"/>
              </w:rPr>
              <w:t>Logotipa izvietojumi un izmēri</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46430ABA" w14:textId="77777777" w:rsidR="00DB5B06" w:rsidRPr="00CF619A" w:rsidRDefault="00DB5B06" w:rsidP="007E1001">
            <w:pPr>
              <w:jc w:val="center"/>
              <w:rPr>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14FF4EF9" w14:textId="77777777" w:rsidR="00DB5B06" w:rsidRPr="00CF619A" w:rsidRDefault="00DB5B06" w:rsidP="007E1001">
            <w:pPr>
              <w:jc w:val="center"/>
              <w:rPr>
                <w:szCs w:val="22"/>
                <w:lang w:eastAsia="lv-LV"/>
              </w:rPr>
            </w:pPr>
          </w:p>
        </w:tc>
      </w:tr>
      <w:tr w:rsidR="00DB5B06" w:rsidRPr="00CF619A" w14:paraId="4730BCE2"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9872B" w14:textId="77777777" w:rsidR="00DB5B06" w:rsidRPr="00CF619A" w:rsidRDefault="00DB5B06" w:rsidP="007E1001">
            <w:pPr>
              <w:numPr>
                <w:ilvl w:val="1"/>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4EBE" w14:textId="56EF6949" w:rsidR="00DB5B06" w:rsidRPr="00BC5A93" w:rsidRDefault="00DB5B06" w:rsidP="007E1001">
            <w:pPr>
              <w:rPr>
                <w:szCs w:val="22"/>
              </w:rPr>
            </w:pPr>
            <w:r w:rsidRPr="00BC5A93">
              <w:rPr>
                <w:szCs w:val="22"/>
              </w:rPr>
              <w:t>Priekšpuses kreisajā krūšu daļā, 42 x 135 mm</w:t>
            </w:r>
          </w:p>
        </w:tc>
        <w:tc>
          <w:tcPr>
            <w:tcW w:w="0" w:type="auto"/>
            <w:tcBorders>
              <w:top w:val="single" w:sz="4" w:space="0" w:color="auto"/>
              <w:left w:val="nil"/>
              <w:bottom w:val="single" w:sz="4" w:space="0" w:color="auto"/>
              <w:right w:val="single" w:sz="4" w:space="0" w:color="auto"/>
            </w:tcBorders>
            <w:shd w:val="clear" w:color="auto" w:fill="auto"/>
          </w:tcPr>
          <w:p w14:paraId="0D20ABDD" w14:textId="04F9F40D" w:rsidR="00DB5B06" w:rsidRPr="00CF619A" w:rsidRDefault="00DB5B06" w:rsidP="007E1001">
            <w:pPr>
              <w:jc w:val="center"/>
              <w:rPr>
                <w:szCs w:val="22"/>
                <w:lang w:eastAsia="lv-LV"/>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396DF2C9" w14:textId="77777777" w:rsidR="00DB5B06" w:rsidRPr="00CF619A" w:rsidRDefault="00DB5B06" w:rsidP="007E1001">
            <w:pPr>
              <w:jc w:val="center"/>
              <w:rPr>
                <w:szCs w:val="22"/>
                <w:lang w:eastAsia="lv-LV"/>
              </w:rPr>
            </w:pPr>
          </w:p>
        </w:tc>
      </w:tr>
      <w:tr w:rsidR="00DB5B06" w:rsidRPr="00CF619A" w14:paraId="417686FC"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B09DC" w14:textId="77777777" w:rsidR="00DB5B06" w:rsidRPr="00CF619A" w:rsidRDefault="00DB5B06" w:rsidP="007E1001">
            <w:pPr>
              <w:numPr>
                <w:ilvl w:val="1"/>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61C02" w14:textId="1B4483E9" w:rsidR="00DB5B06" w:rsidRPr="00BC5A93" w:rsidRDefault="00DB5B06" w:rsidP="007E1001">
            <w:pPr>
              <w:rPr>
                <w:szCs w:val="22"/>
              </w:rPr>
            </w:pPr>
            <w:r w:rsidRPr="00BC5A93">
              <w:rPr>
                <w:szCs w:val="22"/>
              </w:rPr>
              <w:t>Mugurpuses augšdaļas vidū, 112 x 104 mm</w:t>
            </w:r>
          </w:p>
        </w:tc>
        <w:tc>
          <w:tcPr>
            <w:tcW w:w="0" w:type="auto"/>
            <w:tcBorders>
              <w:top w:val="single" w:sz="4" w:space="0" w:color="auto"/>
              <w:left w:val="nil"/>
              <w:bottom w:val="single" w:sz="4" w:space="0" w:color="auto"/>
              <w:right w:val="single" w:sz="4" w:space="0" w:color="auto"/>
            </w:tcBorders>
            <w:shd w:val="clear" w:color="auto" w:fill="auto"/>
          </w:tcPr>
          <w:p w14:paraId="0FAD3F76" w14:textId="75BA65AF" w:rsidR="00DB5B06" w:rsidRPr="00CF619A" w:rsidRDefault="00DB5B06" w:rsidP="007E1001">
            <w:pPr>
              <w:jc w:val="center"/>
              <w:rPr>
                <w:szCs w:val="22"/>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04685754" w14:textId="77777777" w:rsidR="00DB5B06" w:rsidRPr="00CF619A" w:rsidRDefault="00DB5B06" w:rsidP="007E1001">
            <w:pPr>
              <w:jc w:val="center"/>
              <w:rPr>
                <w:szCs w:val="22"/>
                <w:lang w:eastAsia="lv-LV"/>
              </w:rPr>
            </w:pPr>
          </w:p>
        </w:tc>
      </w:tr>
      <w:tr w:rsidR="00DB5B06" w:rsidRPr="00CF619A" w14:paraId="4311A31A"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253C19"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F8105" w14:textId="04A44D81" w:rsidR="00DB5B06" w:rsidRPr="00CF619A" w:rsidRDefault="00DB5B06" w:rsidP="007E1001">
            <w:pPr>
              <w:rPr>
                <w:szCs w:val="22"/>
              </w:rPr>
            </w:pPr>
            <w:r w:rsidRPr="00CF619A">
              <w:rPr>
                <w:szCs w:val="22"/>
              </w:rPr>
              <w:t>Logotipa paraugs</w:t>
            </w:r>
          </w:p>
          <w:p w14:paraId="5C85730F" w14:textId="4C1EB5B5" w:rsidR="00DB5B06" w:rsidRPr="00CF619A" w:rsidRDefault="00DB5B06" w:rsidP="007E1001">
            <w:pPr>
              <w:rPr>
                <w:szCs w:val="22"/>
              </w:rPr>
            </w:pPr>
            <w:r w:rsidRPr="00CF619A">
              <w:rPr>
                <w:noProof/>
                <w:szCs w:val="22"/>
              </w:rPr>
              <w:drawing>
                <wp:inline distT="0" distB="0" distL="0" distR="0" wp14:anchorId="120BE99B" wp14:editId="406444D3">
                  <wp:extent cx="1884596" cy="89849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868" cy="902441"/>
                          </a:xfrm>
                          <a:prstGeom prst="rect">
                            <a:avLst/>
                          </a:prstGeom>
                          <a:noFill/>
                        </pic:spPr>
                      </pic:pic>
                    </a:graphicData>
                  </a:graphic>
                </wp:inline>
              </w:drawing>
            </w:r>
          </w:p>
        </w:tc>
        <w:tc>
          <w:tcPr>
            <w:tcW w:w="0" w:type="auto"/>
            <w:tcBorders>
              <w:top w:val="single" w:sz="4" w:space="0" w:color="auto"/>
              <w:left w:val="nil"/>
              <w:bottom w:val="single" w:sz="4" w:space="0" w:color="auto"/>
              <w:right w:val="single" w:sz="4" w:space="0" w:color="auto"/>
            </w:tcBorders>
            <w:shd w:val="clear" w:color="auto" w:fill="auto"/>
          </w:tcPr>
          <w:p w14:paraId="069BE2EA" w14:textId="0ADBF319" w:rsidR="00DB5B06" w:rsidRPr="00CF619A" w:rsidRDefault="00DB5B06" w:rsidP="007E1001">
            <w:pPr>
              <w:jc w:val="center"/>
              <w:rPr>
                <w:szCs w:val="22"/>
              </w:rPr>
            </w:pPr>
            <w:r w:rsidRPr="00CF619A">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255CE408" w14:textId="77777777" w:rsidR="00DB5B06" w:rsidRPr="00CF619A" w:rsidRDefault="00DB5B06" w:rsidP="007E1001">
            <w:pPr>
              <w:jc w:val="center"/>
              <w:rPr>
                <w:szCs w:val="22"/>
                <w:lang w:eastAsia="lv-LV"/>
              </w:rPr>
            </w:pPr>
          </w:p>
        </w:tc>
      </w:tr>
      <w:tr w:rsidR="00DB5B06" w:rsidRPr="00CF619A" w14:paraId="7988005A" w14:textId="77777777" w:rsidTr="00486A3D">
        <w:trPr>
          <w:cantSplit/>
        </w:trPr>
        <w:tc>
          <w:tcPr>
            <w:tcW w:w="0" w:type="auto"/>
            <w:gridSpan w:val="3"/>
            <w:tcBorders>
              <w:top w:val="nil"/>
              <w:left w:val="single" w:sz="4" w:space="0" w:color="auto"/>
              <w:bottom w:val="single" w:sz="4" w:space="0" w:color="auto"/>
              <w:right w:val="single" w:sz="4" w:space="0" w:color="auto"/>
            </w:tcBorders>
            <w:shd w:val="clear" w:color="auto" w:fill="B8CCE4" w:themeFill="accent1" w:themeFillTint="66"/>
          </w:tcPr>
          <w:p w14:paraId="16AAF71D" w14:textId="0CED92A2" w:rsidR="00DB5B06" w:rsidRPr="00CF619A" w:rsidRDefault="00DB5B06" w:rsidP="007E1001">
            <w:pPr>
              <w:contextualSpacing/>
              <w:rPr>
                <w:rFonts w:eastAsiaTheme="minorHAnsi"/>
                <w:noProof/>
                <w:szCs w:val="22"/>
                <w:lang w:eastAsia="lv-LV"/>
              </w:rPr>
            </w:pPr>
            <w:r w:rsidRPr="00CF619A">
              <w:rPr>
                <w:rFonts w:eastAsiaTheme="minorHAnsi"/>
                <w:b/>
                <w:bCs/>
                <w:noProof/>
                <w:szCs w:val="22"/>
                <w:lang w:eastAsia="lv-LV"/>
              </w:rPr>
              <w:t>Konstrukcija</w:t>
            </w:r>
          </w:p>
        </w:tc>
        <w:tc>
          <w:tcPr>
            <w:tcW w:w="0" w:type="auto"/>
            <w:tcBorders>
              <w:top w:val="nil"/>
              <w:left w:val="nil"/>
              <w:bottom w:val="single" w:sz="4" w:space="0" w:color="auto"/>
              <w:right w:val="single" w:sz="4" w:space="0" w:color="auto"/>
            </w:tcBorders>
            <w:shd w:val="clear" w:color="auto" w:fill="B8CCE4" w:themeFill="accent1" w:themeFillTint="66"/>
            <w:vAlign w:val="center"/>
          </w:tcPr>
          <w:p w14:paraId="37D6BEC5" w14:textId="77777777" w:rsidR="00DB5B06" w:rsidRPr="00CF619A" w:rsidRDefault="00DB5B06" w:rsidP="007E1001">
            <w:pPr>
              <w:jc w:val="center"/>
              <w:rPr>
                <w:szCs w:val="22"/>
                <w:lang w:eastAsia="lv-LV"/>
              </w:rPr>
            </w:pPr>
          </w:p>
        </w:tc>
      </w:tr>
      <w:tr w:rsidR="00DB5B06" w:rsidRPr="00CF619A" w14:paraId="600569DF" w14:textId="77777777" w:rsidTr="00F1070D">
        <w:trPr>
          <w:cantSplit/>
        </w:trPr>
        <w:tc>
          <w:tcPr>
            <w:tcW w:w="0" w:type="auto"/>
            <w:gridSpan w:val="4"/>
            <w:tcBorders>
              <w:top w:val="nil"/>
              <w:left w:val="single" w:sz="4" w:space="0" w:color="auto"/>
              <w:bottom w:val="single" w:sz="4" w:space="0" w:color="auto"/>
              <w:right w:val="single" w:sz="4" w:space="0" w:color="auto"/>
            </w:tcBorders>
            <w:shd w:val="clear" w:color="auto" w:fill="D9D9D9" w:themeFill="background1" w:themeFillShade="D9"/>
          </w:tcPr>
          <w:p w14:paraId="7182728E" w14:textId="02A5F411" w:rsidR="00DB5B06" w:rsidRPr="00CF619A" w:rsidRDefault="00DB5B06" w:rsidP="007E1001">
            <w:pPr>
              <w:rPr>
                <w:szCs w:val="22"/>
                <w:lang w:eastAsia="lv-LV"/>
              </w:rPr>
            </w:pPr>
            <w:r>
              <w:rPr>
                <w:b/>
                <w:szCs w:val="22"/>
              </w:rPr>
              <w:t>Ziemas d</w:t>
            </w:r>
            <w:r w:rsidRPr="00CF619A">
              <w:rPr>
                <w:b/>
                <w:szCs w:val="22"/>
              </w:rPr>
              <w:t>arba jaka aizsardzībai pret elektriskā loka iedarbību</w:t>
            </w:r>
          </w:p>
        </w:tc>
      </w:tr>
      <w:tr w:rsidR="00DB5B06" w:rsidRPr="00CF619A" w14:paraId="74D18E98" w14:textId="77777777" w:rsidTr="00F1070D">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4ABB71A5"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1403946C" w14:textId="2AD134B1" w:rsidR="00DB5B06" w:rsidRPr="005358A3" w:rsidRDefault="00DB5B06" w:rsidP="007E1001">
            <w:pPr>
              <w:rPr>
                <w:szCs w:val="22"/>
              </w:rPr>
            </w:pPr>
            <w:r w:rsidRPr="005358A3">
              <w:rPr>
                <w:szCs w:val="22"/>
              </w:rPr>
              <w:t>Pagarināta</w:t>
            </w:r>
          </w:p>
        </w:tc>
        <w:tc>
          <w:tcPr>
            <w:tcW w:w="0" w:type="auto"/>
            <w:tcBorders>
              <w:top w:val="nil"/>
              <w:left w:val="nil"/>
              <w:bottom w:val="single" w:sz="4" w:space="0" w:color="auto"/>
              <w:right w:val="single" w:sz="4" w:space="0" w:color="auto"/>
            </w:tcBorders>
            <w:shd w:val="clear" w:color="auto" w:fill="auto"/>
          </w:tcPr>
          <w:p w14:paraId="68619FAA" w14:textId="651D3BEE" w:rsidR="00DB5B06" w:rsidRPr="00CF619A" w:rsidRDefault="00DB5B06" w:rsidP="007E1001">
            <w:pPr>
              <w:jc w:val="center"/>
              <w:rPr>
                <w:szCs w:val="22"/>
                <w:lang w:eastAsia="lv-LV"/>
              </w:rPr>
            </w:pPr>
            <w:r w:rsidRPr="00CF619A">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43731F3" w14:textId="77777777" w:rsidR="00DB5B06" w:rsidRPr="00CF619A" w:rsidRDefault="00DB5B06" w:rsidP="007E1001">
            <w:pPr>
              <w:jc w:val="center"/>
              <w:rPr>
                <w:szCs w:val="22"/>
                <w:lang w:eastAsia="lv-LV"/>
              </w:rPr>
            </w:pPr>
          </w:p>
        </w:tc>
      </w:tr>
      <w:tr w:rsidR="00DB5B06" w:rsidRPr="00CF619A" w14:paraId="7E031BB8"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2658624B"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27BFA180" w14:textId="586225D4" w:rsidR="00DB5B06" w:rsidRPr="00494F6C" w:rsidRDefault="00DB5B06" w:rsidP="007E1001">
            <w:pPr>
              <w:rPr>
                <w:szCs w:val="22"/>
                <w:lang w:eastAsia="lv-LV"/>
              </w:rPr>
            </w:pPr>
            <w:r w:rsidRPr="00494F6C">
              <w:rPr>
                <w:bCs/>
                <w:szCs w:val="22"/>
                <w:lang w:eastAsia="lv-LV"/>
              </w:rPr>
              <w:t>Noņemama izmērā regulējama kapuce, v</w:t>
            </w:r>
            <w:r w:rsidRPr="00494F6C">
              <w:rPr>
                <w:bCs/>
                <w:szCs w:val="22"/>
              </w:rPr>
              <w:t>ar lietot virs ķiveres</w:t>
            </w:r>
            <w:r w:rsidRPr="00494F6C">
              <w:rPr>
                <w:bCs/>
                <w:szCs w:val="22"/>
                <w:lang w:eastAsia="lv-LV"/>
              </w:rPr>
              <w:t xml:space="preserve"> </w:t>
            </w:r>
            <w:r w:rsidRPr="00494F6C">
              <w:rPr>
                <w:rStyle w:val="FootnoteReference"/>
                <w:bCs/>
                <w:szCs w:val="22"/>
                <w:lang w:eastAsia="lv-LV"/>
              </w:rPr>
              <w:footnoteReference w:id="13"/>
            </w:r>
          </w:p>
        </w:tc>
        <w:tc>
          <w:tcPr>
            <w:tcW w:w="0" w:type="auto"/>
            <w:tcBorders>
              <w:top w:val="nil"/>
              <w:left w:val="nil"/>
              <w:bottom w:val="single" w:sz="4" w:space="0" w:color="auto"/>
              <w:right w:val="single" w:sz="4" w:space="0" w:color="auto"/>
            </w:tcBorders>
            <w:shd w:val="clear" w:color="auto" w:fill="auto"/>
          </w:tcPr>
          <w:p w14:paraId="7DA3858F" w14:textId="7DD3E647" w:rsidR="00DB5B06" w:rsidRPr="00494F6C" w:rsidRDefault="00DB5B06" w:rsidP="007E1001">
            <w:pPr>
              <w:jc w:val="center"/>
              <w:rPr>
                <w:szCs w:val="22"/>
                <w:lang w:eastAsia="lv-LV"/>
              </w:rPr>
            </w:pPr>
            <w:r w:rsidRPr="00494F6C">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0547CBE5" w14:textId="77777777" w:rsidR="00DB5B06" w:rsidRPr="00CF619A" w:rsidRDefault="00DB5B06" w:rsidP="007E1001">
            <w:pPr>
              <w:jc w:val="center"/>
              <w:rPr>
                <w:szCs w:val="22"/>
                <w:lang w:eastAsia="lv-LV"/>
              </w:rPr>
            </w:pPr>
          </w:p>
        </w:tc>
      </w:tr>
      <w:tr w:rsidR="00DB5B06" w:rsidRPr="00CF619A" w14:paraId="3E6C243E"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84B6378"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5F33D5B9" w14:textId="3900D66F" w:rsidR="00DB5B06" w:rsidRPr="00494F6C" w:rsidRDefault="00DB5B06" w:rsidP="007E1001">
            <w:pPr>
              <w:rPr>
                <w:szCs w:val="22"/>
                <w:lang w:eastAsia="lv-LV"/>
              </w:rPr>
            </w:pPr>
            <w:r w:rsidRPr="00494F6C">
              <w:rPr>
                <w:bCs/>
                <w:szCs w:val="22"/>
                <w:lang w:eastAsia="lv-LV"/>
              </w:rPr>
              <w:t>Priekšējā aizdare ar rāvējslēdzēju, kuram pāri ir aizdares sloksne līdz apkaklei ar slēptu aizdari</w:t>
            </w:r>
          </w:p>
        </w:tc>
        <w:tc>
          <w:tcPr>
            <w:tcW w:w="0" w:type="auto"/>
            <w:tcBorders>
              <w:top w:val="nil"/>
              <w:left w:val="nil"/>
              <w:bottom w:val="single" w:sz="4" w:space="0" w:color="auto"/>
              <w:right w:val="single" w:sz="4" w:space="0" w:color="auto"/>
            </w:tcBorders>
            <w:shd w:val="clear" w:color="auto" w:fill="auto"/>
          </w:tcPr>
          <w:p w14:paraId="629AFFF5" w14:textId="3C01F8B8" w:rsidR="00DB5B06" w:rsidRPr="00494F6C" w:rsidRDefault="00DB5B06" w:rsidP="007E1001">
            <w:pPr>
              <w:jc w:val="center"/>
              <w:rPr>
                <w:szCs w:val="22"/>
                <w:lang w:eastAsia="lv-LV"/>
              </w:rPr>
            </w:pPr>
            <w:r w:rsidRPr="00494F6C">
              <w:rPr>
                <w:szCs w:val="22"/>
                <w:lang w:eastAsia="lv-LV"/>
              </w:rPr>
              <w:t>Atbilst</w:t>
            </w:r>
          </w:p>
        </w:tc>
        <w:tc>
          <w:tcPr>
            <w:tcW w:w="0" w:type="auto"/>
            <w:tcBorders>
              <w:top w:val="nil"/>
              <w:left w:val="nil"/>
              <w:bottom w:val="single" w:sz="4" w:space="0" w:color="auto"/>
              <w:right w:val="single" w:sz="4" w:space="0" w:color="auto"/>
            </w:tcBorders>
            <w:shd w:val="clear" w:color="auto" w:fill="auto"/>
          </w:tcPr>
          <w:p w14:paraId="6F5A4D77" w14:textId="77777777" w:rsidR="00DB5B06" w:rsidRPr="00CF619A" w:rsidRDefault="00DB5B06" w:rsidP="007E1001">
            <w:pPr>
              <w:jc w:val="center"/>
              <w:rPr>
                <w:szCs w:val="22"/>
                <w:lang w:eastAsia="lv-LV"/>
              </w:rPr>
            </w:pPr>
          </w:p>
        </w:tc>
      </w:tr>
      <w:tr w:rsidR="00DB5B06" w:rsidRPr="00CF619A" w14:paraId="01C12B75"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55B7221C"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DA45FDD" w14:textId="5F7BBCF0" w:rsidR="00DB5B06" w:rsidRPr="00494F6C" w:rsidRDefault="00DB5B06" w:rsidP="007E1001">
            <w:pPr>
              <w:rPr>
                <w:bCs/>
                <w:szCs w:val="22"/>
                <w:lang w:eastAsia="lv-LV"/>
              </w:rPr>
            </w:pPr>
            <w:r w:rsidRPr="00494F6C">
              <w:rPr>
                <w:bCs/>
                <w:szCs w:val="22"/>
                <w:lang w:eastAsia="lv-LV"/>
              </w:rPr>
              <w:t>Vismaz viena krūšu kabata</w:t>
            </w:r>
          </w:p>
        </w:tc>
        <w:tc>
          <w:tcPr>
            <w:tcW w:w="0" w:type="auto"/>
            <w:tcBorders>
              <w:top w:val="nil"/>
              <w:left w:val="nil"/>
              <w:bottom w:val="single" w:sz="4" w:space="0" w:color="auto"/>
              <w:right w:val="single" w:sz="4" w:space="0" w:color="auto"/>
            </w:tcBorders>
            <w:shd w:val="clear" w:color="auto" w:fill="auto"/>
          </w:tcPr>
          <w:p w14:paraId="55FE9D5E" w14:textId="6FA93FC0" w:rsidR="00DB5B06" w:rsidRPr="00CF619A" w:rsidRDefault="00DB5B06" w:rsidP="007E1001">
            <w:pPr>
              <w:jc w:val="center"/>
              <w:rPr>
                <w:szCs w:val="22"/>
                <w:lang w:eastAsia="lv-LV"/>
              </w:rPr>
            </w:pPr>
            <w:r w:rsidRPr="00CF619A">
              <w:rPr>
                <w:szCs w:val="22"/>
                <w:lang w:eastAsia="lv-LV"/>
              </w:rPr>
              <w:t xml:space="preserve">Atbilst </w:t>
            </w:r>
          </w:p>
        </w:tc>
        <w:tc>
          <w:tcPr>
            <w:tcW w:w="0" w:type="auto"/>
            <w:tcBorders>
              <w:top w:val="nil"/>
              <w:left w:val="nil"/>
              <w:bottom w:val="single" w:sz="4" w:space="0" w:color="auto"/>
              <w:right w:val="single" w:sz="4" w:space="0" w:color="auto"/>
            </w:tcBorders>
            <w:shd w:val="clear" w:color="auto" w:fill="auto"/>
          </w:tcPr>
          <w:p w14:paraId="23E7F132" w14:textId="77777777" w:rsidR="00DB5B06" w:rsidRPr="00CF619A" w:rsidRDefault="00DB5B06" w:rsidP="007E1001">
            <w:pPr>
              <w:jc w:val="center"/>
              <w:rPr>
                <w:szCs w:val="22"/>
                <w:lang w:eastAsia="lv-LV"/>
              </w:rPr>
            </w:pPr>
          </w:p>
        </w:tc>
      </w:tr>
      <w:tr w:rsidR="00DB5B06" w:rsidRPr="00CF619A" w14:paraId="7F5EAF3F"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6AACE1DF"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056214F7" w14:textId="1ED3F8F1" w:rsidR="00DB5B06" w:rsidRPr="005358A3" w:rsidRDefault="00DB5B06" w:rsidP="007E1001">
            <w:pPr>
              <w:rPr>
                <w:bCs/>
                <w:szCs w:val="22"/>
                <w:lang w:eastAsia="lv-LV"/>
              </w:rPr>
            </w:pPr>
            <w:r w:rsidRPr="005358A3">
              <w:rPr>
                <w:bCs/>
                <w:szCs w:val="22"/>
                <w:lang w:eastAsia="lv-LV"/>
              </w:rPr>
              <w:t>Vismaz divas sānu kabatas</w:t>
            </w:r>
          </w:p>
        </w:tc>
        <w:tc>
          <w:tcPr>
            <w:tcW w:w="0" w:type="auto"/>
            <w:tcBorders>
              <w:top w:val="nil"/>
              <w:left w:val="nil"/>
              <w:bottom w:val="single" w:sz="4" w:space="0" w:color="auto"/>
              <w:right w:val="single" w:sz="4" w:space="0" w:color="auto"/>
            </w:tcBorders>
            <w:shd w:val="clear" w:color="auto" w:fill="auto"/>
          </w:tcPr>
          <w:p w14:paraId="1ECAEFE5" w14:textId="27FEA915" w:rsidR="00DB5B06" w:rsidRPr="00CF619A" w:rsidRDefault="00DB5B06" w:rsidP="007E1001">
            <w:pPr>
              <w:jc w:val="center"/>
              <w:rPr>
                <w:szCs w:val="22"/>
                <w:lang w:eastAsia="lv-LV"/>
              </w:rPr>
            </w:pPr>
            <w:r w:rsidRPr="00CF619A">
              <w:rPr>
                <w:szCs w:val="22"/>
                <w:lang w:eastAsia="lv-LV"/>
              </w:rPr>
              <w:t xml:space="preserve">Atbilst </w:t>
            </w:r>
          </w:p>
        </w:tc>
        <w:tc>
          <w:tcPr>
            <w:tcW w:w="0" w:type="auto"/>
            <w:tcBorders>
              <w:top w:val="nil"/>
              <w:left w:val="nil"/>
              <w:bottom w:val="single" w:sz="4" w:space="0" w:color="auto"/>
              <w:right w:val="single" w:sz="4" w:space="0" w:color="auto"/>
            </w:tcBorders>
            <w:shd w:val="clear" w:color="auto" w:fill="auto"/>
          </w:tcPr>
          <w:p w14:paraId="6A61E574" w14:textId="77777777" w:rsidR="00DB5B06" w:rsidRPr="00CF619A" w:rsidRDefault="00DB5B06" w:rsidP="007E1001">
            <w:pPr>
              <w:jc w:val="center"/>
              <w:rPr>
                <w:szCs w:val="22"/>
                <w:lang w:eastAsia="lv-LV"/>
              </w:rPr>
            </w:pPr>
          </w:p>
        </w:tc>
      </w:tr>
      <w:tr w:rsidR="00DB5B06" w:rsidRPr="00CF619A" w14:paraId="24F32461"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6E75FA32"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3F0C492C" w14:textId="290C2B90" w:rsidR="00DB5B06" w:rsidRPr="005358A3" w:rsidRDefault="00DB5B06" w:rsidP="007E1001">
            <w:pPr>
              <w:rPr>
                <w:bCs/>
                <w:szCs w:val="22"/>
                <w:lang w:eastAsia="lv-LV"/>
              </w:rPr>
            </w:pPr>
            <w:r w:rsidRPr="005358A3">
              <w:rPr>
                <w:bCs/>
                <w:szCs w:val="22"/>
                <w:lang w:eastAsia="lv-LV"/>
              </w:rPr>
              <w:t>Pilna garuma piedurkņu gali platumā regulējami</w:t>
            </w:r>
          </w:p>
        </w:tc>
        <w:tc>
          <w:tcPr>
            <w:tcW w:w="0" w:type="auto"/>
            <w:tcBorders>
              <w:top w:val="nil"/>
              <w:left w:val="nil"/>
              <w:bottom w:val="single" w:sz="4" w:space="0" w:color="auto"/>
              <w:right w:val="single" w:sz="4" w:space="0" w:color="auto"/>
            </w:tcBorders>
            <w:shd w:val="clear" w:color="auto" w:fill="auto"/>
          </w:tcPr>
          <w:p w14:paraId="5560044F" w14:textId="0D6648AC" w:rsidR="00DB5B06" w:rsidRPr="00CF619A" w:rsidRDefault="00DB5B06" w:rsidP="007E1001">
            <w:pPr>
              <w:jc w:val="center"/>
              <w:rPr>
                <w:szCs w:val="22"/>
                <w:lang w:eastAsia="lv-LV"/>
              </w:rPr>
            </w:pPr>
            <w:r w:rsidRPr="00CF619A">
              <w:rPr>
                <w:szCs w:val="22"/>
                <w:lang w:eastAsia="lv-LV"/>
              </w:rPr>
              <w:t xml:space="preserve">Atbilst </w:t>
            </w:r>
          </w:p>
        </w:tc>
        <w:tc>
          <w:tcPr>
            <w:tcW w:w="0" w:type="auto"/>
            <w:tcBorders>
              <w:top w:val="nil"/>
              <w:left w:val="nil"/>
              <w:bottom w:val="single" w:sz="4" w:space="0" w:color="auto"/>
              <w:right w:val="single" w:sz="4" w:space="0" w:color="auto"/>
            </w:tcBorders>
            <w:shd w:val="clear" w:color="auto" w:fill="auto"/>
          </w:tcPr>
          <w:p w14:paraId="5F92370B" w14:textId="77777777" w:rsidR="00DB5B06" w:rsidRPr="00CF619A" w:rsidRDefault="00DB5B06" w:rsidP="007E1001">
            <w:pPr>
              <w:jc w:val="center"/>
              <w:rPr>
                <w:szCs w:val="22"/>
                <w:lang w:eastAsia="lv-LV"/>
              </w:rPr>
            </w:pPr>
          </w:p>
        </w:tc>
      </w:tr>
      <w:tr w:rsidR="00DB5B06" w:rsidRPr="00CF619A" w14:paraId="61048FD8" w14:textId="77777777" w:rsidTr="00F1070D">
        <w:trPr>
          <w:cantSplit/>
        </w:trPr>
        <w:tc>
          <w:tcPr>
            <w:tcW w:w="0" w:type="auto"/>
            <w:tcBorders>
              <w:top w:val="nil"/>
              <w:left w:val="single" w:sz="4" w:space="0" w:color="auto"/>
              <w:bottom w:val="single" w:sz="4" w:space="0" w:color="auto"/>
              <w:right w:val="single" w:sz="4" w:space="0" w:color="auto"/>
            </w:tcBorders>
            <w:shd w:val="clear" w:color="auto" w:fill="auto"/>
          </w:tcPr>
          <w:p w14:paraId="1EC77582" w14:textId="77777777" w:rsidR="00DB5B06" w:rsidRPr="00CF619A" w:rsidRDefault="00DB5B06" w:rsidP="007E1001">
            <w:pPr>
              <w:numPr>
                <w:ilvl w:val="0"/>
                <w:numId w:val="2"/>
              </w:numPr>
              <w:contextualSpacing/>
              <w:rPr>
                <w:rFonts w:eastAsiaTheme="minorHAnsi"/>
                <w:bCs/>
                <w:noProof/>
                <w:szCs w:val="22"/>
                <w:lang w:eastAsia="lv-LV"/>
              </w:rPr>
            </w:pPr>
          </w:p>
        </w:tc>
        <w:tc>
          <w:tcPr>
            <w:tcW w:w="0" w:type="auto"/>
            <w:tcBorders>
              <w:top w:val="nil"/>
              <w:left w:val="single" w:sz="4" w:space="0" w:color="auto"/>
              <w:bottom w:val="single" w:sz="4" w:space="0" w:color="auto"/>
              <w:right w:val="single" w:sz="4" w:space="0" w:color="auto"/>
            </w:tcBorders>
            <w:shd w:val="clear" w:color="auto" w:fill="auto"/>
          </w:tcPr>
          <w:p w14:paraId="64F3AEA7" w14:textId="5B3AFE3C" w:rsidR="00DB5B06" w:rsidRPr="005358A3" w:rsidRDefault="00DB5B06" w:rsidP="007E1001">
            <w:pPr>
              <w:rPr>
                <w:bCs/>
                <w:szCs w:val="22"/>
                <w:lang w:eastAsia="lv-LV"/>
              </w:rPr>
            </w:pPr>
            <w:r w:rsidRPr="005358A3">
              <w:rPr>
                <w:szCs w:val="22"/>
              </w:rPr>
              <w:t>Jakas vidukļa un/vai apakšdaļas platums regulējams</w:t>
            </w:r>
          </w:p>
        </w:tc>
        <w:tc>
          <w:tcPr>
            <w:tcW w:w="0" w:type="auto"/>
            <w:tcBorders>
              <w:top w:val="nil"/>
              <w:left w:val="nil"/>
              <w:bottom w:val="single" w:sz="4" w:space="0" w:color="auto"/>
              <w:right w:val="single" w:sz="4" w:space="0" w:color="auto"/>
            </w:tcBorders>
            <w:shd w:val="clear" w:color="auto" w:fill="auto"/>
          </w:tcPr>
          <w:p w14:paraId="73801FDF" w14:textId="4E041353" w:rsidR="00DB5B06" w:rsidRPr="00CF619A" w:rsidDel="00D96218" w:rsidRDefault="00DB5B06" w:rsidP="007E1001">
            <w:pPr>
              <w:jc w:val="center"/>
              <w:rPr>
                <w:szCs w:val="22"/>
                <w:lang w:eastAsia="lv-LV"/>
              </w:rPr>
            </w:pPr>
            <w:r w:rsidRPr="00CF619A">
              <w:rPr>
                <w:szCs w:val="22"/>
                <w:lang w:eastAsia="lv-LV"/>
              </w:rPr>
              <w:t xml:space="preserve">Atbilst </w:t>
            </w:r>
          </w:p>
        </w:tc>
        <w:tc>
          <w:tcPr>
            <w:tcW w:w="0" w:type="auto"/>
            <w:tcBorders>
              <w:top w:val="nil"/>
              <w:left w:val="nil"/>
              <w:bottom w:val="single" w:sz="4" w:space="0" w:color="auto"/>
              <w:right w:val="single" w:sz="4" w:space="0" w:color="auto"/>
            </w:tcBorders>
            <w:shd w:val="clear" w:color="auto" w:fill="auto"/>
          </w:tcPr>
          <w:p w14:paraId="15539ABC" w14:textId="77777777" w:rsidR="00DB5B06" w:rsidRPr="00CF619A" w:rsidRDefault="00DB5B06" w:rsidP="007E1001">
            <w:pPr>
              <w:jc w:val="center"/>
              <w:rPr>
                <w:szCs w:val="22"/>
                <w:lang w:eastAsia="lv-LV"/>
              </w:rPr>
            </w:pPr>
          </w:p>
        </w:tc>
      </w:tr>
      <w:tr w:rsidR="00DB5B06" w:rsidRPr="00CF619A" w14:paraId="55E1B556" w14:textId="77777777" w:rsidTr="008B0C44">
        <w:trPr>
          <w:cantSplit/>
          <w:trHeight w:val="284"/>
        </w:trPr>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56E1A9" w14:textId="7DBB5C8A" w:rsidR="00DB5B06" w:rsidRPr="00CF619A" w:rsidRDefault="00DB5B06" w:rsidP="007E1001">
            <w:pPr>
              <w:keepNext/>
              <w:rPr>
                <w:b/>
                <w:bCs/>
                <w:szCs w:val="22"/>
                <w:lang w:eastAsia="lv-LV"/>
              </w:rPr>
            </w:pPr>
            <w:r w:rsidRPr="00CF619A">
              <w:rPr>
                <w:b/>
                <w:bCs/>
                <w:szCs w:val="22"/>
                <w:lang w:eastAsia="lv-LV"/>
              </w:rPr>
              <w:t>Neobligātās prasības</w:t>
            </w:r>
            <w:r w:rsidRPr="00CF619A">
              <w:rPr>
                <w:rStyle w:val="FootnoteReference"/>
                <w:b/>
                <w:bCs/>
                <w:szCs w:val="22"/>
                <w:lang w:eastAsia="lv-LV"/>
              </w:rPr>
              <w:footnoteReference w:id="14"/>
            </w:r>
          </w:p>
        </w:tc>
      </w:tr>
      <w:tr w:rsidR="00DB5B06" w:rsidRPr="00CF619A" w14:paraId="4C702109"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67A8F"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A361" w14:textId="451CB8A2" w:rsidR="00DB5B06" w:rsidRPr="005358A3" w:rsidRDefault="00DB5B06" w:rsidP="007E1001">
            <w:pPr>
              <w:rPr>
                <w:szCs w:val="22"/>
              </w:rPr>
            </w:pPr>
            <w:r w:rsidRPr="005358A3">
              <w:rPr>
                <w:szCs w:val="22"/>
              </w:rPr>
              <w:t>Elektriskā loka robežvērtība ATPV vai E</w:t>
            </w:r>
            <w:r w:rsidRPr="005358A3">
              <w:rPr>
                <w:szCs w:val="22"/>
                <w:vertAlign w:val="subscript"/>
              </w:rPr>
              <w:t xml:space="preserve">BT50 </w:t>
            </w:r>
            <w:r w:rsidRPr="005358A3">
              <w:rPr>
                <w:szCs w:val="22"/>
              </w:rPr>
              <w:t xml:space="preserve">(EBT) (LVS EN 61482-1-1:2009, LVS EN IEC 61482-1-1:2019 vai ekvivalenta), ja veikts attiecīgais tests, </w:t>
            </w:r>
            <w:proofErr w:type="spellStart"/>
            <w:r w:rsidRPr="005358A3">
              <w:rPr>
                <w:szCs w:val="22"/>
              </w:rPr>
              <w:t>cal</w:t>
            </w:r>
            <w:proofErr w:type="spellEnd"/>
            <w:r w:rsidRPr="005358A3">
              <w:rPr>
                <w:szCs w:val="22"/>
              </w:rPr>
              <w:t>/</w:t>
            </w:r>
            <w:r w:rsidRPr="005358A3">
              <w:rPr>
                <w:szCs w:val="22"/>
                <w:lang w:eastAsia="lv-LV"/>
              </w:rPr>
              <w:t>cm</w:t>
            </w:r>
            <w:r w:rsidRPr="005358A3">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0C309B81" w14:textId="77777777" w:rsidR="00DB5B06" w:rsidRPr="005358A3" w:rsidRDefault="00DB5B06" w:rsidP="007E1001">
            <w:pPr>
              <w:jc w:val="center"/>
              <w:rPr>
                <w:szCs w:val="22"/>
                <w:lang w:eastAsia="lv-LV"/>
              </w:rPr>
            </w:pPr>
            <w:r w:rsidRPr="005358A3">
              <w:rPr>
                <w:szCs w:val="22"/>
              </w:rPr>
              <w:t>40</w:t>
            </w:r>
          </w:p>
        </w:tc>
        <w:tc>
          <w:tcPr>
            <w:tcW w:w="0" w:type="auto"/>
            <w:tcBorders>
              <w:top w:val="single" w:sz="4" w:space="0" w:color="auto"/>
              <w:left w:val="nil"/>
              <w:bottom w:val="single" w:sz="4" w:space="0" w:color="auto"/>
              <w:right w:val="single" w:sz="4" w:space="0" w:color="auto"/>
            </w:tcBorders>
            <w:shd w:val="clear" w:color="auto" w:fill="auto"/>
          </w:tcPr>
          <w:p w14:paraId="3FCA607B" w14:textId="77777777" w:rsidR="00DB5B06" w:rsidRPr="00CF619A" w:rsidRDefault="00DB5B06" w:rsidP="007E1001">
            <w:pPr>
              <w:jc w:val="center"/>
              <w:rPr>
                <w:szCs w:val="22"/>
                <w:lang w:eastAsia="lv-LV"/>
              </w:rPr>
            </w:pPr>
          </w:p>
        </w:tc>
      </w:tr>
      <w:tr w:rsidR="00DB5B06" w:rsidRPr="00CF619A" w14:paraId="55F56D79"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040BF"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09721" w14:textId="735CF43F" w:rsidR="00DB5B06" w:rsidRPr="005358A3" w:rsidRDefault="00DB5B06" w:rsidP="007E1001">
            <w:pPr>
              <w:rPr>
                <w:szCs w:val="22"/>
              </w:rPr>
            </w:pPr>
            <w:r w:rsidRPr="005358A3">
              <w:rPr>
                <w:szCs w:val="22"/>
              </w:rPr>
              <w:t xml:space="preserve">Elektriskā loka robežvērtība ELIM </w:t>
            </w:r>
            <w:r w:rsidRPr="005358A3">
              <w:rPr>
                <w:szCs w:val="22"/>
                <w:lang w:eastAsia="lv-LV"/>
              </w:rPr>
              <w:t>(</w:t>
            </w:r>
            <w:r w:rsidRPr="005358A3">
              <w:rPr>
                <w:szCs w:val="22"/>
              </w:rPr>
              <w:t xml:space="preserve">LVS EN IEC 61482-1-1:2019 vai ekvivalenta), ja veikts attiecīgais tests, </w:t>
            </w:r>
            <w:proofErr w:type="spellStart"/>
            <w:r w:rsidRPr="005358A3">
              <w:rPr>
                <w:szCs w:val="22"/>
              </w:rPr>
              <w:t>cal</w:t>
            </w:r>
            <w:proofErr w:type="spellEnd"/>
            <w:r w:rsidRPr="005358A3">
              <w:rPr>
                <w:szCs w:val="22"/>
              </w:rPr>
              <w:t>/</w:t>
            </w:r>
            <w:r w:rsidRPr="005358A3">
              <w:rPr>
                <w:szCs w:val="22"/>
                <w:lang w:eastAsia="lv-LV"/>
              </w:rPr>
              <w:t>cm</w:t>
            </w:r>
            <w:r w:rsidRPr="005358A3">
              <w:rPr>
                <w:szCs w:val="22"/>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tcPr>
          <w:p w14:paraId="29A2D296" w14:textId="77777777" w:rsidR="00DB5B06" w:rsidRPr="005358A3" w:rsidRDefault="00DB5B06" w:rsidP="007E1001">
            <w:pPr>
              <w:jc w:val="center"/>
              <w:rPr>
                <w:szCs w:val="22"/>
                <w:lang w:eastAsia="lv-LV"/>
              </w:rPr>
            </w:pPr>
            <w:r w:rsidRPr="005358A3">
              <w:rPr>
                <w:szCs w:val="22"/>
              </w:rPr>
              <w:t>32</w:t>
            </w:r>
          </w:p>
        </w:tc>
        <w:tc>
          <w:tcPr>
            <w:tcW w:w="0" w:type="auto"/>
            <w:tcBorders>
              <w:top w:val="single" w:sz="4" w:space="0" w:color="auto"/>
              <w:left w:val="nil"/>
              <w:bottom w:val="single" w:sz="4" w:space="0" w:color="auto"/>
              <w:right w:val="single" w:sz="4" w:space="0" w:color="auto"/>
            </w:tcBorders>
            <w:shd w:val="clear" w:color="auto" w:fill="auto"/>
          </w:tcPr>
          <w:p w14:paraId="6675993C" w14:textId="77777777" w:rsidR="00DB5B06" w:rsidRPr="00CF619A" w:rsidRDefault="00DB5B06" w:rsidP="007E1001">
            <w:pPr>
              <w:jc w:val="center"/>
              <w:rPr>
                <w:szCs w:val="22"/>
                <w:lang w:eastAsia="lv-LV"/>
              </w:rPr>
            </w:pPr>
          </w:p>
        </w:tc>
      </w:tr>
      <w:tr w:rsidR="00DB5B06" w:rsidRPr="00CF619A" w14:paraId="799ADAE0"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59000"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23010" w14:textId="22B14C52" w:rsidR="00DB5B06" w:rsidRPr="005358A3" w:rsidRDefault="00DB5B06" w:rsidP="007E1001">
            <w:pPr>
              <w:rPr>
                <w:szCs w:val="22"/>
              </w:rPr>
            </w:pPr>
            <w:r w:rsidRPr="005358A3">
              <w:rPr>
                <w:szCs w:val="22"/>
              </w:rPr>
              <w:t>Metināšanas un ar to saistīto procesu aizsardzības klase, aizsardzības līmenis pret virsmas un apakšējās malas aizdegšanos (</w:t>
            </w:r>
            <w:r w:rsidRPr="005358A3">
              <w:rPr>
                <w:rFonts w:eastAsiaTheme="minorHAnsi"/>
                <w:szCs w:val="22"/>
              </w:rPr>
              <w:t>LVS EN ISO 11611:2015 vai ekvivalenta)</w:t>
            </w:r>
          </w:p>
        </w:tc>
        <w:tc>
          <w:tcPr>
            <w:tcW w:w="0" w:type="auto"/>
            <w:tcBorders>
              <w:top w:val="single" w:sz="4" w:space="0" w:color="auto"/>
              <w:left w:val="single" w:sz="4" w:space="0" w:color="000000"/>
              <w:bottom w:val="single" w:sz="4" w:space="0" w:color="auto"/>
              <w:right w:val="single" w:sz="4" w:space="0" w:color="auto"/>
            </w:tcBorders>
            <w:shd w:val="clear" w:color="auto" w:fill="auto"/>
          </w:tcPr>
          <w:p w14:paraId="64C8769B" w14:textId="3C66C522" w:rsidR="00DB5B06" w:rsidRPr="005358A3" w:rsidRDefault="00DB5B06" w:rsidP="007E1001">
            <w:pPr>
              <w:jc w:val="center"/>
              <w:rPr>
                <w:szCs w:val="22"/>
                <w:lang w:eastAsia="lv-LV"/>
              </w:rPr>
            </w:pPr>
            <w:r w:rsidRPr="005358A3">
              <w:rPr>
                <w:szCs w:val="22"/>
                <w:lang w:eastAsia="lv-LV"/>
              </w:rPr>
              <w:t>Klase 1, A1+A2</w:t>
            </w:r>
          </w:p>
        </w:tc>
        <w:tc>
          <w:tcPr>
            <w:tcW w:w="0" w:type="auto"/>
            <w:tcBorders>
              <w:top w:val="single" w:sz="4" w:space="0" w:color="auto"/>
              <w:left w:val="nil"/>
              <w:bottom w:val="single" w:sz="4" w:space="0" w:color="auto"/>
              <w:right w:val="single" w:sz="4" w:space="0" w:color="auto"/>
            </w:tcBorders>
            <w:shd w:val="clear" w:color="auto" w:fill="auto"/>
          </w:tcPr>
          <w:p w14:paraId="797B05A0" w14:textId="77777777" w:rsidR="00DB5B06" w:rsidRPr="00CF619A" w:rsidRDefault="00DB5B06" w:rsidP="007E1001">
            <w:pPr>
              <w:jc w:val="center"/>
              <w:rPr>
                <w:szCs w:val="22"/>
                <w:lang w:eastAsia="lv-LV"/>
              </w:rPr>
            </w:pPr>
          </w:p>
        </w:tc>
      </w:tr>
      <w:tr w:rsidR="00DB5B06" w:rsidRPr="00CF619A" w14:paraId="28C7DA65"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BB950"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1084E" w14:textId="44B9BC8D" w:rsidR="00DB5B06" w:rsidRPr="003D6EDE" w:rsidRDefault="00DB5B06" w:rsidP="007E1001">
            <w:pPr>
              <w:rPr>
                <w:szCs w:val="22"/>
              </w:rPr>
            </w:pPr>
            <w:r w:rsidRPr="003D6EDE">
              <w:rPr>
                <w:szCs w:val="22"/>
              </w:rPr>
              <w:t xml:space="preserve">Ūdens </w:t>
            </w:r>
            <w:proofErr w:type="spellStart"/>
            <w:r w:rsidRPr="003D6EDE">
              <w:rPr>
                <w:szCs w:val="22"/>
              </w:rPr>
              <w:t>necaurlaidība</w:t>
            </w:r>
            <w:proofErr w:type="spellEnd"/>
            <w:r w:rsidRPr="003D6EDE">
              <w:rPr>
                <w:szCs w:val="22"/>
              </w:rPr>
              <w:t xml:space="preserve"> WP (EN 20811:1992, EN ISO 811:2018 vai ekvivalenta), mm H</w:t>
            </w:r>
            <w:r w:rsidRPr="003D6EDE">
              <w:rPr>
                <w:szCs w:val="22"/>
                <w:vertAlign w:val="subscript"/>
              </w:rPr>
              <w:t>2</w:t>
            </w:r>
            <w:r w:rsidRPr="003D6EDE">
              <w:rPr>
                <w:szCs w:val="22"/>
              </w:rPr>
              <w:t>O [Pa]</w:t>
            </w:r>
          </w:p>
        </w:tc>
        <w:tc>
          <w:tcPr>
            <w:tcW w:w="0" w:type="auto"/>
            <w:tcBorders>
              <w:top w:val="single" w:sz="4" w:space="0" w:color="auto"/>
              <w:left w:val="nil"/>
              <w:bottom w:val="single" w:sz="4" w:space="0" w:color="auto"/>
              <w:right w:val="single" w:sz="4" w:space="0" w:color="auto"/>
            </w:tcBorders>
            <w:shd w:val="clear" w:color="auto" w:fill="auto"/>
          </w:tcPr>
          <w:p w14:paraId="14F874CD" w14:textId="77777777" w:rsidR="00DB5B06" w:rsidRPr="003D6EDE" w:rsidRDefault="00DB5B06" w:rsidP="007E1001">
            <w:pPr>
              <w:jc w:val="center"/>
              <w:rPr>
                <w:szCs w:val="22"/>
              </w:rPr>
            </w:pPr>
            <w:r w:rsidRPr="003D6EDE">
              <w:rPr>
                <w:szCs w:val="22"/>
              </w:rPr>
              <w:t>15 000</w:t>
            </w:r>
          </w:p>
          <w:p w14:paraId="1AA5957F" w14:textId="77777777" w:rsidR="00DB5B06" w:rsidRPr="003D6EDE" w:rsidRDefault="00DB5B06" w:rsidP="007E1001">
            <w:pPr>
              <w:jc w:val="center"/>
              <w:rPr>
                <w:szCs w:val="22"/>
                <w:lang w:eastAsia="lv-LV"/>
              </w:rPr>
            </w:pPr>
            <w:r w:rsidRPr="003D6EDE">
              <w:rPr>
                <w:szCs w:val="22"/>
              </w:rPr>
              <w:t>[147 059]</w:t>
            </w:r>
          </w:p>
        </w:tc>
        <w:tc>
          <w:tcPr>
            <w:tcW w:w="0" w:type="auto"/>
            <w:tcBorders>
              <w:top w:val="single" w:sz="4" w:space="0" w:color="auto"/>
              <w:left w:val="nil"/>
              <w:bottom w:val="single" w:sz="4" w:space="0" w:color="auto"/>
              <w:right w:val="single" w:sz="4" w:space="0" w:color="auto"/>
            </w:tcBorders>
            <w:shd w:val="clear" w:color="auto" w:fill="auto"/>
          </w:tcPr>
          <w:p w14:paraId="5D64E561" w14:textId="77777777" w:rsidR="00DB5B06" w:rsidRPr="00CF619A" w:rsidRDefault="00DB5B06" w:rsidP="007E1001">
            <w:pPr>
              <w:jc w:val="center"/>
              <w:rPr>
                <w:szCs w:val="22"/>
                <w:lang w:eastAsia="lv-LV"/>
              </w:rPr>
            </w:pPr>
          </w:p>
        </w:tc>
      </w:tr>
      <w:tr w:rsidR="00DB5B06" w:rsidRPr="00CF619A" w14:paraId="24FCEB5F"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21B0D"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8AB4" w14:textId="1ED325B9" w:rsidR="00DB5B06" w:rsidRPr="005358A3" w:rsidRDefault="00DB5B06" w:rsidP="007E1001">
            <w:pPr>
              <w:rPr>
                <w:szCs w:val="22"/>
              </w:rPr>
            </w:pPr>
            <w:r w:rsidRPr="005358A3">
              <w:rPr>
                <w:szCs w:val="22"/>
              </w:rPr>
              <w:t xml:space="preserve">Ūdens iztvaikošanas pretestība (materiāla "elpošanas" spēja) Ret (EN ISO 11092:2014 vai ekvivalenta), </w:t>
            </w:r>
            <w:r w:rsidRPr="005358A3">
              <w:rPr>
                <w:szCs w:val="22"/>
                <w:lang w:eastAsia="lv-LV"/>
              </w:rPr>
              <w:t>m</w:t>
            </w:r>
            <w:r w:rsidRPr="005358A3">
              <w:rPr>
                <w:szCs w:val="22"/>
                <w:vertAlign w:val="superscript"/>
                <w:lang w:eastAsia="lv-LV"/>
              </w:rPr>
              <w:t>2</w:t>
            </w:r>
            <w:r w:rsidRPr="005358A3">
              <w:rPr>
                <w:szCs w:val="22"/>
                <w:lang w:eastAsia="lv-LV"/>
              </w:rPr>
              <w:t>Pa/W</w:t>
            </w:r>
            <w:r w:rsidRPr="005358A3">
              <w:rPr>
                <w:szCs w:val="22"/>
              </w:rPr>
              <w:t xml:space="preserve"> (norādīt konkrētu vērtību)</w:t>
            </w:r>
          </w:p>
        </w:tc>
        <w:tc>
          <w:tcPr>
            <w:tcW w:w="0" w:type="auto"/>
            <w:tcBorders>
              <w:top w:val="single" w:sz="4" w:space="0" w:color="auto"/>
              <w:left w:val="nil"/>
              <w:bottom w:val="single" w:sz="4" w:space="0" w:color="auto"/>
              <w:right w:val="single" w:sz="4" w:space="0" w:color="auto"/>
            </w:tcBorders>
            <w:shd w:val="clear" w:color="auto" w:fill="auto"/>
          </w:tcPr>
          <w:p w14:paraId="7669F214" w14:textId="77777777" w:rsidR="00DB5B06" w:rsidRPr="005358A3" w:rsidRDefault="00DB5B06" w:rsidP="007E1001">
            <w:pPr>
              <w:jc w:val="center"/>
              <w:rPr>
                <w:szCs w:val="22"/>
                <w:lang w:eastAsia="lv-LV"/>
              </w:rPr>
            </w:pPr>
            <w:r w:rsidRPr="005358A3">
              <w:rPr>
                <w:szCs w:val="22"/>
                <w:lang w:eastAsia="lv-LV"/>
              </w:rPr>
              <w:t>≤ 8,5</w:t>
            </w:r>
          </w:p>
        </w:tc>
        <w:tc>
          <w:tcPr>
            <w:tcW w:w="0" w:type="auto"/>
            <w:tcBorders>
              <w:top w:val="single" w:sz="4" w:space="0" w:color="auto"/>
              <w:left w:val="nil"/>
              <w:bottom w:val="single" w:sz="4" w:space="0" w:color="auto"/>
              <w:right w:val="single" w:sz="4" w:space="0" w:color="auto"/>
            </w:tcBorders>
            <w:shd w:val="clear" w:color="auto" w:fill="auto"/>
          </w:tcPr>
          <w:p w14:paraId="5978EF89" w14:textId="77777777" w:rsidR="00DB5B06" w:rsidRPr="00CF619A" w:rsidRDefault="00DB5B06" w:rsidP="007E1001">
            <w:pPr>
              <w:jc w:val="center"/>
              <w:rPr>
                <w:szCs w:val="22"/>
                <w:lang w:eastAsia="lv-LV"/>
              </w:rPr>
            </w:pPr>
          </w:p>
        </w:tc>
      </w:tr>
      <w:tr w:rsidR="00DB5B06" w:rsidRPr="00CF619A" w14:paraId="083E0EC6"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FC15D"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1082" w14:textId="46776241" w:rsidR="00DB5B06" w:rsidRPr="005358A3" w:rsidRDefault="00DB5B06" w:rsidP="007E1001">
            <w:pPr>
              <w:rPr>
                <w:szCs w:val="22"/>
              </w:rPr>
            </w:pPr>
            <w:r w:rsidRPr="005358A3">
              <w:rPr>
                <w:szCs w:val="22"/>
              </w:rPr>
              <w:t>Aizsardzību norādošās piktogrammas izvietotas ārpusē redzamā vietā</w:t>
            </w:r>
          </w:p>
        </w:tc>
        <w:tc>
          <w:tcPr>
            <w:tcW w:w="0" w:type="auto"/>
            <w:tcBorders>
              <w:top w:val="single" w:sz="4" w:space="0" w:color="auto"/>
              <w:left w:val="nil"/>
              <w:bottom w:val="single" w:sz="4" w:space="0" w:color="auto"/>
              <w:right w:val="single" w:sz="4" w:space="0" w:color="auto"/>
            </w:tcBorders>
            <w:shd w:val="clear" w:color="auto" w:fill="auto"/>
          </w:tcPr>
          <w:p w14:paraId="64E831A7" w14:textId="2A9D10BF" w:rsidR="00DB5B06" w:rsidRPr="005358A3" w:rsidRDefault="00DB5B06" w:rsidP="007E1001">
            <w:pPr>
              <w:jc w:val="center"/>
              <w:rPr>
                <w:szCs w:val="22"/>
                <w:lang w:eastAsia="lv-LV"/>
              </w:rPr>
            </w:pPr>
            <w:r w:rsidRPr="005358A3">
              <w:rPr>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tcPr>
          <w:p w14:paraId="3AC5B932" w14:textId="77777777" w:rsidR="00DB5B06" w:rsidRPr="00CF619A" w:rsidRDefault="00DB5B06" w:rsidP="007E1001">
            <w:pPr>
              <w:jc w:val="center"/>
              <w:rPr>
                <w:szCs w:val="22"/>
              </w:rPr>
            </w:pPr>
          </w:p>
        </w:tc>
      </w:tr>
      <w:tr w:rsidR="00DB5B06" w:rsidRPr="00CF619A" w14:paraId="4F19E9A8" w14:textId="77777777" w:rsidTr="00F1070D">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98165" w14:textId="77777777" w:rsidR="00DB5B06" w:rsidRPr="00CF619A" w:rsidRDefault="00DB5B06" w:rsidP="007E1001">
            <w:pPr>
              <w:numPr>
                <w:ilvl w:val="0"/>
                <w:numId w:val="2"/>
              </w:numPr>
              <w:contextualSpacing/>
              <w:rPr>
                <w:rFonts w:eastAsiaTheme="minorHAnsi"/>
                <w:noProof/>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5D3C4" w14:textId="616005FC" w:rsidR="00DB5B06" w:rsidRPr="005358A3" w:rsidRDefault="00DB5B06" w:rsidP="007E1001">
            <w:pPr>
              <w:rPr>
                <w:szCs w:val="22"/>
              </w:rPr>
            </w:pPr>
            <w:r w:rsidRPr="005358A3">
              <w:rPr>
                <w:rFonts w:eastAsiaTheme="minorHAnsi"/>
                <w:szCs w:val="22"/>
              </w:rPr>
              <w:t>Piedāvātā apģērba izmēri atbilst cilvēka īsam, standarta un garam augumam, jeb tiek piedāvāta arī apģērba nestandarta izmēru izgatavošana pēc individuāliem ķermeņa mēriem</w:t>
            </w:r>
            <w:r w:rsidRPr="005358A3">
              <w:rPr>
                <w:rFonts w:eastAsiaTheme="minorHAnsi"/>
                <w:szCs w:val="22"/>
                <w:vertAlign w:val="superscript"/>
              </w:rPr>
              <w:footnoteReference w:id="15"/>
            </w:r>
          </w:p>
        </w:tc>
        <w:tc>
          <w:tcPr>
            <w:tcW w:w="0" w:type="auto"/>
            <w:tcBorders>
              <w:top w:val="single" w:sz="4" w:space="0" w:color="auto"/>
              <w:left w:val="nil"/>
              <w:bottom w:val="single" w:sz="4" w:space="0" w:color="auto"/>
              <w:right w:val="single" w:sz="4" w:space="0" w:color="auto"/>
            </w:tcBorders>
            <w:shd w:val="clear" w:color="auto" w:fill="auto"/>
          </w:tcPr>
          <w:p w14:paraId="4349B209" w14:textId="06276596" w:rsidR="00DB5B06" w:rsidRPr="005358A3" w:rsidRDefault="00DB5B06" w:rsidP="007E1001">
            <w:pPr>
              <w:jc w:val="center"/>
              <w:rPr>
                <w:szCs w:val="22"/>
                <w:lang w:eastAsia="lv-LV"/>
              </w:rPr>
            </w:pPr>
            <w:r w:rsidRPr="005358A3">
              <w:rPr>
                <w:szCs w:val="22"/>
                <w:lang w:eastAsia="lv-LV"/>
              </w:rPr>
              <w:t>Atbilst (norādīt atbilstošo)</w:t>
            </w:r>
          </w:p>
        </w:tc>
        <w:tc>
          <w:tcPr>
            <w:tcW w:w="0" w:type="auto"/>
            <w:tcBorders>
              <w:top w:val="single" w:sz="4" w:space="0" w:color="auto"/>
              <w:left w:val="nil"/>
              <w:bottom w:val="single" w:sz="4" w:space="0" w:color="auto"/>
              <w:right w:val="single" w:sz="4" w:space="0" w:color="auto"/>
            </w:tcBorders>
            <w:shd w:val="clear" w:color="auto" w:fill="auto"/>
          </w:tcPr>
          <w:p w14:paraId="7D3FE712" w14:textId="77777777" w:rsidR="00DB5B06" w:rsidRPr="00CF619A" w:rsidRDefault="00DB5B06" w:rsidP="007E1001">
            <w:pPr>
              <w:jc w:val="center"/>
              <w:rPr>
                <w:szCs w:val="22"/>
                <w:lang w:eastAsia="lv-LV"/>
              </w:rPr>
            </w:pPr>
          </w:p>
        </w:tc>
      </w:tr>
    </w:tbl>
    <w:p w14:paraId="334E1BA2" w14:textId="77777777" w:rsidR="00791243" w:rsidRPr="00CF619A" w:rsidRDefault="00791243" w:rsidP="007E1001">
      <w:pPr>
        <w:keepNext/>
        <w:widowControl w:val="0"/>
        <w:rPr>
          <w:b/>
          <w:noProof/>
          <w:szCs w:val="22"/>
          <w:lang w:eastAsia="lv-LV"/>
        </w:rPr>
      </w:pPr>
    </w:p>
    <w:p w14:paraId="496B67A7" w14:textId="5E2457EE" w:rsidR="00F1070D" w:rsidRPr="00CF619A" w:rsidRDefault="00F1070D" w:rsidP="007E1001">
      <w:pPr>
        <w:keepNext/>
        <w:widowControl w:val="0"/>
        <w:jc w:val="center"/>
        <w:rPr>
          <w:b/>
          <w:noProof/>
          <w:szCs w:val="22"/>
          <w:lang w:eastAsia="lv-LV"/>
        </w:rPr>
      </w:pPr>
      <w:r w:rsidRPr="00CF619A">
        <w:rPr>
          <w:b/>
          <w:noProof/>
          <w:szCs w:val="22"/>
          <w:lang w:eastAsia="lv-LV"/>
        </w:rPr>
        <w:t>Attēliem ir informatīvs raksturs</w:t>
      </w:r>
    </w:p>
    <w:p w14:paraId="11C4CC6C" w14:textId="77777777" w:rsidR="00F1070D" w:rsidRPr="00CF619A" w:rsidRDefault="00F1070D" w:rsidP="007E1001">
      <w:pPr>
        <w:rPr>
          <w:b/>
          <w:bCs/>
          <w:iCs/>
          <w:szCs w:val="22"/>
        </w:rPr>
      </w:pPr>
    </w:p>
    <w:p w14:paraId="45E314F7" w14:textId="77777777" w:rsidR="00F1070D" w:rsidRPr="00CF619A" w:rsidRDefault="00F1070D" w:rsidP="007E1001">
      <w:pPr>
        <w:rPr>
          <w:szCs w:val="22"/>
        </w:rPr>
      </w:pPr>
    </w:p>
    <w:p w14:paraId="413C654F" w14:textId="53AE7929" w:rsidR="00A75124" w:rsidRPr="00F1070D" w:rsidRDefault="00065FE6" w:rsidP="007E1001">
      <w:pPr>
        <w:jc w:val="center"/>
      </w:pPr>
      <w:r>
        <w:rPr>
          <w:noProof/>
        </w:rPr>
        <w:drawing>
          <wp:inline distT="0" distB="0" distL="0" distR="0" wp14:anchorId="79517551" wp14:editId="168B5597">
            <wp:extent cx="1469571" cy="1604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020" cy="1609139"/>
                    </a:xfrm>
                    <a:prstGeom prst="rect">
                      <a:avLst/>
                    </a:prstGeom>
                    <a:noFill/>
                  </pic:spPr>
                </pic:pic>
              </a:graphicData>
            </a:graphic>
          </wp:inline>
        </w:drawing>
      </w:r>
      <w:r w:rsidR="00AD42B3">
        <w:rPr>
          <w:noProof/>
        </w:rPr>
        <w:drawing>
          <wp:inline distT="0" distB="0" distL="0" distR="0" wp14:anchorId="6C5EB7AA" wp14:editId="50F6B894">
            <wp:extent cx="1540328" cy="1680375"/>
            <wp:effectExtent l="0" t="0" r="3175" b="0"/>
            <wp:docPr id="7" name="Picture 7" descr="Portwest Hi Vis Multi-Norm FR Anti-Static Jacket (FR61) | PPG Work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west Hi Vis Multi-Norm FR Anti-Static Jacket (FR61) | PPG Workw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987" cy="1694185"/>
                    </a:xfrm>
                    <a:prstGeom prst="rect">
                      <a:avLst/>
                    </a:prstGeom>
                    <a:noFill/>
                    <a:ln>
                      <a:noFill/>
                    </a:ln>
                  </pic:spPr>
                </pic:pic>
              </a:graphicData>
            </a:graphic>
          </wp:inline>
        </w:drawing>
      </w:r>
      <w:r w:rsidR="00CB42BB">
        <w:rPr>
          <w:noProof/>
        </w:rPr>
        <w:drawing>
          <wp:inline distT="0" distB="0" distL="0" distR="0" wp14:anchorId="53F318FB" wp14:editId="6F68C86D">
            <wp:extent cx="1034142" cy="14867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423" cy="1498621"/>
                    </a:xfrm>
                    <a:prstGeom prst="rect">
                      <a:avLst/>
                    </a:prstGeom>
                    <a:noFill/>
                  </pic:spPr>
                </pic:pic>
              </a:graphicData>
            </a:graphic>
          </wp:inline>
        </w:drawing>
      </w:r>
    </w:p>
    <w:sectPr w:rsidR="00A75124" w:rsidRPr="00F1070D" w:rsidSect="007E1001">
      <w:headerReference w:type="default" r:id="rId12"/>
      <w:footerReference w:type="default" r:id="rId13"/>
      <w:endnotePr>
        <w:numFmt w:val="decimal"/>
      </w:endnotePr>
      <w:pgSz w:w="16838" w:h="11906" w:orient="landscape"/>
      <w:pgMar w:top="567"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5300" w14:textId="77777777" w:rsidR="00F13D63" w:rsidRDefault="00F13D63" w:rsidP="00062857">
      <w:r>
        <w:separator/>
      </w:r>
    </w:p>
  </w:endnote>
  <w:endnote w:type="continuationSeparator" w:id="0">
    <w:p w14:paraId="33DD758C" w14:textId="77777777" w:rsidR="00F13D63" w:rsidRDefault="00F13D63" w:rsidP="00062857">
      <w:r>
        <w:continuationSeparator/>
      </w:r>
    </w:p>
  </w:endnote>
  <w:endnote w:type="continuationNotice" w:id="1">
    <w:p w14:paraId="7DCFB558" w14:textId="77777777" w:rsidR="00F13D63" w:rsidRDefault="00F1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3F91E8CB" w:rsidR="002A79B9" w:rsidRPr="009001A3" w:rsidRDefault="002A79B9">
    <w:pPr>
      <w:pStyle w:val="Footer"/>
      <w:jc w:val="center"/>
    </w:pPr>
    <w:r w:rsidRPr="009001A3">
      <w:t xml:space="preserve"> </w:t>
    </w:r>
    <w:r w:rsidRPr="009001A3">
      <w:fldChar w:fldCharType="begin"/>
    </w:r>
    <w:r w:rsidRPr="009001A3">
      <w:instrText>PAGE  \* Arabic  \* MERGEFORMAT</w:instrText>
    </w:r>
    <w:r w:rsidRPr="009001A3">
      <w:fldChar w:fldCharType="separate"/>
    </w:r>
    <w:r w:rsidR="00C408AF">
      <w:rPr>
        <w:noProof/>
      </w:rPr>
      <w:t>9</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C408AF">
      <w:rPr>
        <w:noProof/>
      </w:rPr>
      <w:t>15</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DF79" w14:textId="77777777" w:rsidR="00F13D63" w:rsidRDefault="00F13D63" w:rsidP="00062857">
      <w:r>
        <w:separator/>
      </w:r>
    </w:p>
  </w:footnote>
  <w:footnote w:type="continuationSeparator" w:id="0">
    <w:p w14:paraId="43C6AAC2" w14:textId="77777777" w:rsidR="00F13D63" w:rsidRDefault="00F13D63" w:rsidP="00062857">
      <w:r>
        <w:continuationSeparator/>
      </w:r>
    </w:p>
  </w:footnote>
  <w:footnote w:type="continuationNotice" w:id="1">
    <w:p w14:paraId="6D0C91BF" w14:textId="77777777" w:rsidR="00F13D63" w:rsidRDefault="00F13D63"/>
  </w:footnote>
  <w:footnote w:id="2">
    <w:p w14:paraId="4AD7B53D" w14:textId="1902C9C5" w:rsidR="00DB5B06" w:rsidRPr="00940480" w:rsidRDefault="00DB5B06" w:rsidP="00F1070D">
      <w:pPr>
        <w:pStyle w:val="FootnoteText"/>
        <w:jc w:val="both"/>
        <w:rPr>
          <w:sz w:val="16"/>
          <w:szCs w:val="16"/>
        </w:rPr>
      </w:pPr>
      <w:r>
        <w:rPr>
          <w:rStyle w:val="FootnoteReference"/>
        </w:rPr>
        <w:footnoteRef/>
      </w:r>
      <w:r>
        <w:t xml:space="preserve"> </w:t>
      </w:r>
      <w:bookmarkStart w:id="0" w:name="_Hlk66434064"/>
      <w:r w:rsidRPr="00940480">
        <w:rPr>
          <w:sz w:val="16"/>
          <w:szCs w:val="16"/>
        </w:rPr>
        <w:t>Ja norādīta vērtība/parametrs, piedāvājums var būt ar norādīto vai augstāku vērtību/parametru, ja pie vērtības/parametra norādīts simbols "&lt;" vai "≤", piedāvājuma konkrētai vērtībai/parametram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 jānodrošina, lai piedāvājums atbilstu kādai no vērtību robežās esošai vērtībai</w:t>
      </w:r>
      <w:bookmarkEnd w:id="0"/>
    </w:p>
  </w:footnote>
  <w:footnote w:id="3">
    <w:p w14:paraId="3A320D29" w14:textId="676FD92D" w:rsidR="00DB5B06" w:rsidRPr="00940480" w:rsidRDefault="00DB5B06" w:rsidP="00F1070D">
      <w:pPr>
        <w:pStyle w:val="FootnoteText"/>
        <w:jc w:val="both"/>
        <w:rPr>
          <w:sz w:val="16"/>
          <w:szCs w:val="16"/>
        </w:rPr>
      </w:pPr>
      <w:r w:rsidRPr="00940480">
        <w:rPr>
          <w:rStyle w:val="FootnoteReference"/>
          <w:sz w:val="16"/>
          <w:szCs w:val="16"/>
        </w:rPr>
        <w:footnoteRef/>
      </w:r>
      <w:r w:rsidRPr="00940480">
        <w:rPr>
          <w:sz w:val="16"/>
          <w:szCs w:val="16"/>
        </w:rPr>
        <w:t xml:space="preserve"> </w:t>
      </w:r>
      <w:r w:rsidRPr="00940480">
        <w:rPr>
          <w:sz w:val="16"/>
          <w:szCs w:val="16"/>
          <w:lang w:eastAsia="lv-LV"/>
        </w:rPr>
        <w:t>Norādīt pilnu preces tipa apzīmējumu (modeļa nosaukums, artikulu)</w:t>
      </w:r>
    </w:p>
  </w:footnote>
  <w:footnote w:id="4">
    <w:p w14:paraId="18ABAFDD" w14:textId="0CDB883B" w:rsidR="00DB5B06" w:rsidRPr="00940480" w:rsidRDefault="00DB5B06" w:rsidP="00F1070D">
      <w:pPr>
        <w:pStyle w:val="FootnoteText"/>
        <w:jc w:val="both"/>
        <w:rPr>
          <w:sz w:val="16"/>
          <w:szCs w:val="16"/>
        </w:rPr>
      </w:pPr>
      <w:r w:rsidRPr="00940480">
        <w:rPr>
          <w:rStyle w:val="FootnoteReference"/>
          <w:sz w:val="16"/>
          <w:szCs w:val="16"/>
        </w:rPr>
        <w:footnoteRef/>
      </w:r>
      <w:r w:rsidRPr="00940480">
        <w:rPr>
          <w:sz w:val="16"/>
          <w:szCs w:val="16"/>
        </w:rPr>
        <w:t xml:space="preserve"> Paraugu var iesniegt bez logotipa, kas minēts sadaļā "Logotips"</w:t>
      </w:r>
    </w:p>
  </w:footnote>
  <w:footnote w:id="5">
    <w:p w14:paraId="0D8664D7" w14:textId="224CA00E" w:rsidR="00DB5B06" w:rsidRPr="00940480" w:rsidRDefault="00DB5B06" w:rsidP="00F1070D">
      <w:pPr>
        <w:pStyle w:val="FootnoteText"/>
        <w:jc w:val="both"/>
        <w:rPr>
          <w:sz w:val="16"/>
          <w:szCs w:val="16"/>
        </w:rPr>
      </w:pPr>
      <w:r w:rsidRPr="00940480">
        <w:rPr>
          <w:rStyle w:val="FootnoteReference"/>
          <w:sz w:val="16"/>
          <w:szCs w:val="16"/>
        </w:rPr>
        <w:footnoteRef/>
      </w:r>
      <w:r w:rsidRPr="00940480">
        <w:rPr>
          <w:sz w:val="16"/>
          <w:szCs w:val="16"/>
        </w:rPr>
        <w:t xml:space="preserve"> Paraugu iesniegšanas termiņš tiks rēķināts no tā pieprasīšanas dienas</w:t>
      </w:r>
    </w:p>
  </w:footnote>
  <w:footnote w:id="6">
    <w:p w14:paraId="502DDD4A" w14:textId="6226CF31" w:rsidR="00DB5B06" w:rsidRPr="00940480" w:rsidRDefault="00DB5B06">
      <w:pPr>
        <w:pStyle w:val="FootnoteText"/>
        <w:rPr>
          <w:sz w:val="16"/>
          <w:szCs w:val="16"/>
        </w:rPr>
      </w:pPr>
      <w:r w:rsidRPr="00940480">
        <w:rPr>
          <w:rStyle w:val="FootnoteReference"/>
          <w:sz w:val="16"/>
          <w:szCs w:val="16"/>
        </w:rPr>
        <w:footnoteRef/>
      </w:r>
      <w:r w:rsidRPr="00940480">
        <w:rPr>
          <w:sz w:val="16"/>
          <w:szCs w:val="16"/>
        </w:rPr>
        <w:t xml:space="preserve"> Pasūtītājs </w:t>
      </w:r>
      <w:proofErr w:type="spellStart"/>
      <w:r w:rsidRPr="00940480">
        <w:rPr>
          <w:sz w:val="16"/>
          <w:szCs w:val="16"/>
        </w:rPr>
        <w:t>pasūta</w:t>
      </w:r>
      <w:proofErr w:type="spellEnd"/>
      <w:r w:rsidRPr="00940480">
        <w:rPr>
          <w:sz w:val="16"/>
          <w:szCs w:val="16"/>
        </w:rPr>
        <w:t xml:space="preserve"> pasūtījumus daļās. Pasūtītājam nav pienākums pasūtīt visu apjomu vienā piegādē. Pasūtītājam nav pienākums pasūtīt visu apjomu.</w:t>
      </w:r>
    </w:p>
  </w:footnote>
  <w:footnote w:id="7">
    <w:p w14:paraId="39438838" w14:textId="6CCDFC83" w:rsidR="00DB5B06" w:rsidRPr="00940480" w:rsidRDefault="00DB5B06" w:rsidP="00F1070D">
      <w:pPr>
        <w:pStyle w:val="FootnoteText"/>
        <w:jc w:val="both"/>
        <w:rPr>
          <w:sz w:val="16"/>
          <w:szCs w:val="16"/>
        </w:rPr>
      </w:pPr>
      <w:r w:rsidRPr="00D509FD">
        <w:rPr>
          <w:rStyle w:val="FootnoteReference"/>
        </w:rPr>
        <w:footnoteRef/>
      </w:r>
      <w:r w:rsidRPr="00D509FD">
        <w:t xml:space="preserve"> </w:t>
      </w:r>
      <w:r w:rsidRPr="00940480">
        <w:rPr>
          <w:sz w:val="16"/>
          <w:szCs w:val="16"/>
        </w:rPr>
        <w:t>Ņemot vērā REGULAS 2016/425 47.panta 2.p., līdz 2023. gada 21. aprīlim var atbilst Direktīvai 89/686/EEK, ja vien sertifikātu derīgums nav beidzies pirms minētā datuma</w:t>
      </w:r>
    </w:p>
  </w:footnote>
  <w:footnote w:id="8">
    <w:p w14:paraId="6ECDAFD9" w14:textId="00185AD3" w:rsidR="00DB5B06" w:rsidRPr="00940480" w:rsidRDefault="00DB5B06" w:rsidP="00F1070D">
      <w:pPr>
        <w:pStyle w:val="FootnoteText"/>
        <w:jc w:val="both"/>
        <w:rPr>
          <w:sz w:val="16"/>
          <w:szCs w:val="16"/>
        </w:rPr>
      </w:pPr>
      <w:r w:rsidRPr="00940480">
        <w:rPr>
          <w:rStyle w:val="FootnoteReference"/>
          <w:sz w:val="16"/>
          <w:szCs w:val="16"/>
        </w:rPr>
        <w:footnoteRef/>
      </w:r>
      <w:r w:rsidRPr="00940480">
        <w:rPr>
          <w:sz w:val="16"/>
          <w:szCs w:val="16"/>
        </w:rPr>
        <w:t xml:space="preserve"> Virsējā materiāla  sertifikāts/materiālu kombināciju testa pārskats par WP (42.p., 71.p.) un Ret (43.p., 72.p.), gatavā apģērba testēšanas pārskats par lietus torņa testu, ja saistošs (73.p.), gatavā apģērba testēšanas pārskati par ATPV vai E</w:t>
      </w:r>
      <w:r w:rsidRPr="00940480">
        <w:rPr>
          <w:sz w:val="16"/>
          <w:szCs w:val="16"/>
          <w:vertAlign w:val="subscript"/>
        </w:rPr>
        <w:t>BT50</w:t>
      </w:r>
      <w:bookmarkStart w:id="1" w:name="_Hlk65571718"/>
      <w:r w:rsidRPr="00940480">
        <w:rPr>
          <w:sz w:val="16"/>
          <w:szCs w:val="16"/>
        </w:rPr>
        <w:t>, ja saistošs</w:t>
      </w:r>
      <w:r w:rsidRPr="00940480">
        <w:rPr>
          <w:sz w:val="16"/>
          <w:szCs w:val="16"/>
          <w:vertAlign w:val="subscript"/>
        </w:rPr>
        <w:t xml:space="preserve"> </w:t>
      </w:r>
      <w:bookmarkEnd w:id="1"/>
      <w:r w:rsidRPr="00940480">
        <w:rPr>
          <w:sz w:val="16"/>
          <w:szCs w:val="16"/>
        </w:rPr>
        <w:t>(34.p., 68.p.) un ELIM, ja saistošs (35.p., 69.p.)</w:t>
      </w:r>
    </w:p>
  </w:footnote>
  <w:footnote w:id="9">
    <w:p w14:paraId="63DFFA10" w14:textId="774C8A6B" w:rsidR="00DB5B06" w:rsidRDefault="00DB5B06" w:rsidP="00F1070D">
      <w:pPr>
        <w:pStyle w:val="FootnoteText"/>
        <w:jc w:val="both"/>
      </w:pPr>
      <w:r w:rsidRPr="00940480">
        <w:rPr>
          <w:rStyle w:val="FootnoteReference"/>
          <w:sz w:val="16"/>
          <w:szCs w:val="16"/>
        </w:rPr>
        <w:footnoteRef/>
      </w:r>
      <w:r w:rsidRPr="00940480">
        <w:rPr>
          <w:sz w:val="16"/>
          <w:szCs w:val="16"/>
        </w:rPr>
        <w:t xml:space="preserve"> Atbilstība tehniskajiem parametriem tiks pārbaudīta sadaļā "Dokumentācija" minētajos dokumentos</w:t>
      </w:r>
    </w:p>
  </w:footnote>
  <w:footnote w:id="10">
    <w:p w14:paraId="003A7C8D" w14:textId="189A3FFC" w:rsidR="00DB5B06" w:rsidRPr="00940480" w:rsidRDefault="00DB5B06" w:rsidP="00F1070D">
      <w:pPr>
        <w:pStyle w:val="FootnoteText"/>
        <w:jc w:val="both"/>
        <w:rPr>
          <w:sz w:val="16"/>
          <w:szCs w:val="16"/>
        </w:rPr>
      </w:pPr>
      <w:r w:rsidRPr="00D509FD">
        <w:rPr>
          <w:rStyle w:val="FootnoteReference"/>
        </w:rPr>
        <w:footnoteRef/>
      </w:r>
      <w:r w:rsidRPr="00D509FD">
        <w:t xml:space="preserve"> </w:t>
      </w:r>
      <w:r w:rsidRPr="00940480">
        <w:rPr>
          <w:sz w:val="16"/>
          <w:szCs w:val="16"/>
        </w:rPr>
        <w:t>Saskaņā ar LVS EN 343:2019 1000 Pa = 102 mmH</w:t>
      </w:r>
      <w:r w:rsidRPr="00940480">
        <w:rPr>
          <w:sz w:val="16"/>
          <w:szCs w:val="16"/>
          <w:vertAlign w:val="subscript"/>
        </w:rPr>
        <w:t>2</w:t>
      </w:r>
      <w:r w:rsidRPr="00940480">
        <w:rPr>
          <w:sz w:val="16"/>
          <w:szCs w:val="16"/>
        </w:rPr>
        <w:t>O</w:t>
      </w:r>
    </w:p>
  </w:footnote>
  <w:footnote w:id="11">
    <w:p w14:paraId="5EC8D48F" w14:textId="0D18C5E4" w:rsidR="00DB5B06" w:rsidRPr="00940480" w:rsidRDefault="00DB5B06" w:rsidP="00F1070D">
      <w:pPr>
        <w:pStyle w:val="FootnoteText"/>
        <w:jc w:val="both"/>
        <w:rPr>
          <w:sz w:val="16"/>
          <w:szCs w:val="16"/>
        </w:rPr>
      </w:pPr>
      <w:r w:rsidRPr="00940480">
        <w:rPr>
          <w:rStyle w:val="FootnoteReference"/>
          <w:sz w:val="16"/>
          <w:szCs w:val="16"/>
        </w:rPr>
        <w:footnoteRef/>
      </w:r>
      <w:r w:rsidRPr="00940480">
        <w:rPr>
          <w:sz w:val="16"/>
          <w:szCs w:val="16"/>
        </w:rPr>
        <w:t xml:space="preserve"> Pieļaujama neliela novirze krāsu izvietojumā, ja tas saistīts ar ražotāja atsevišķu konstruktīvo elementu izvietojumu</w:t>
      </w:r>
    </w:p>
  </w:footnote>
  <w:footnote w:id="12">
    <w:p w14:paraId="598F59A6" w14:textId="34CB13DD" w:rsidR="00DB5B06" w:rsidRDefault="00DB5B06" w:rsidP="00F1070D">
      <w:pPr>
        <w:pStyle w:val="FootnoteText"/>
        <w:jc w:val="both"/>
      </w:pPr>
      <w:r w:rsidRPr="00940480">
        <w:rPr>
          <w:rStyle w:val="FootnoteReference"/>
          <w:sz w:val="16"/>
          <w:szCs w:val="16"/>
        </w:rPr>
        <w:footnoteRef/>
      </w:r>
      <w:r w:rsidRPr="00940480">
        <w:rPr>
          <w:sz w:val="16"/>
          <w:szCs w:val="16"/>
        </w:rPr>
        <w:t xml:space="preserve"> Piedāvājuma variants ar ražotāja uznestu logotipu uz 2.p. minētās kategorijas jakas. </w:t>
      </w:r>
      <w:bookmarkStart w:id="2" w:name="_Hlk63104429"/>
      <w:r w:rsidRPr="00940480">
        <w:rPr>
          <w:sz w:val="16"/>
          <w:szCs w:val="16"/>
        </w:rPr>
        <w:t>Logotips kā obligāta sastāvdaļa</w:t>
      </w:r>
      <w:bookmarkEnd w:id="2"/>
      <w:r w:rsidRPr="00940480">
        <w:rPr>
          <w:sz w:val="16"/>
          <w:szCs w:val="16"/>
        </w:rPr>
        <w:t>.</w:t>
      </w:r>
      <w:r>
        <w:rPr>
          <w:szCs w:val="22"/>
        </w:rPr>
        <w:t xml:space="preserve"> </w:t>
      </w:r>
    </w:p>
  </w:footnote>
  <w:footnote w:id="13">
    <w:p w14:paraId="3293D0E5" w14:textId="1BB8B009" w:rsidR="00DB5B06" w:rsidRPr="00940480" w:rsidRDefault="00DB5B06">
      <w:pPr>
        <w:pStyle w:val="FootnoteText"/>
        <w:rPr>
          <w:sz w:val="16"/>
          <w:szCs w:val="16"/>
        </w:rPr>
      </w:pPr>
      <w:r>
        <w:rPr>
          <w:rStyle w:val="FootnoteReference"/>
        </w:rPr>
        <w:footnoteRef/>
      </w:r>
      <w:r>
        <w:t xml:space="preserve"> </w:t>
      </w:r>
      <w:r w:rsidRPr="00940480">
        <w:rPr>
          <w:sz w:val="16"/>
          <w:szCs w:val="16"/>
        </w:rPr>
        <w:t>Kapuce var būt kā atsevišķa preces vienība.</w:t>
      </w:r>
    </w:p>
  </w:footnote>
  <w:footnote w:id="14">
    <w:p w14:paraId="17DA24D4" w14:textId="2AD24E7F" w:rsidR="00DB5B06" w:rsidRDefault="00DB5B06">
      <w:pPr>
        <w:pStyle w:val="FootnoteText"/>
      </w:pPr>
      <w:r w:rsidRPr="00940480">
        <w:rPr>
          <w:rStyle w:val="FootnoteReference"/>
          <w:sz w:val="16"/>
          <w:szCs w:val="16"/>
        </w:rPr>
        <w:footnoteRef/>
      </w:r>
      <w:r w:rsidRPr="00940480">
        <w:rPr>
          <w:sz w:val="16"/>
          <w:szCs w:val="16"/>
        </w:rPr>
        <w:t xml:space="preserve"> Šo prasību izpilde tiek ņemta vērā, lai izvēlētos Pasūtītāja darbinieku vajadzībām vislabāk atbilstošo apģērbu.</w:t>
      </w:r>
      <w:r w:rsidRPr="00AB4BC2">
        <w:t xml:space="preserve">  </w:t>
      </w:r>
    </w:p>
  </w:footnote>
  <w:footnote w:id="15">
    <w:p w14:paraId="230B9D6B" w14:textId="0693E4BE" w:rsidR="00DB5B06" w:rsidRPr="00637E0D" w:rsidRDefault="00DB5B06" w:rsidP="00F1070D">
      <w:pPr>
        <w:rPr>
          <w:color w:val="4F81BD" w:themeColor="accent1"/>
          <w:sz w:val="20"/>
          <w:szCs w:val="20"/>
        </w:rPr>
      </w:pPr>
      <w:r w:rsidRPr="00D509FD">
        <w:rPr>
          <w:rStyle w:val="FootnoteReference"/>
          <w:sz w:val="20"/>
          <w:szCs w:val="20"/>
        </w:rPr>
        <w:footnoteRef/>
      </w:r>
      <w:r w:rsidRPr="00D509FD">
        <w:rPr>
          <w:sz w:val="20"/>
          <w:szCs w:val="20"/>
        </w:rPr>
        <w:t xml:space="preserve"> </w:t>
      </w:r>
      <w:r w:rsidRPr="00940480">
        <w:rPr>
          <w:sz w:val="16"/>
          <w:szCs w:val="16"/>
        </w:rPr>
        <w:t>Augumu garumi vismaz 165 – 200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749C343A" w:rsidR="002A79B9" w:rsidRDefault="002A79B9" w:rsidP="00EF3C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84B"/>
    <w:multiLevelType w:val="hybridMultilevel"/>
    <w:tmpl w:val="0B22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A465D8"/>
    <w:multiLevelType w:val="hybridMultilevel"/>
    <w:tmpl w:val="A9F476E8"/>
    <w:lvl w:ilvl="0" w:tplc="14B81502">
      <w:start w:val="1"/>
      <w:numFmt w:val="bullet"/>
      <w:lvlText w:val=""/>
      <w:lvlJc w:val="left"/>
      <w:pPr>
        <w:ind w:left="108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7383DBB"/>
    <w:multiLevelType w:val="multilevel"/>
    <w:tmpl w:val="CC3CB342"/>
    <w:lvl w:ilvl="0">
      <w:start w:val="1"/>
      <w:numFmt w:val="bullet"/>
      <w:lvlText w:val=""/>
      <w:lvlJc w:val="left"/>
      <w:pPr>
        <w:ind w:left="0" w:firstLine="0"/>
      </w:pPr>
      <w:rPr>
        <w:rFonts w:ascii="Symbol" w:hAnsi="Symbol"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475B3203"/>
    <w:multiLevelType w:val="multilevel"/>
    <w:tmpl w:val="7EB0CB3E"/>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 w15:restartNumberingAfterBreak="0">
    <w:nsid w:val="522F0B00"/>
    <w:multiLevelType w:val="multilevel"/>
    <w:tmpl w:val="333ABF80"/>
    <w:lvl w:ilvl="0">
      <w:start w:val="1"/>
      <w:numFmt w:val="decimal"/>
      <w:suff w:val="nothing"/>
      <w:lvlText w:val="%1."/>
      <w:lvlJc w:val="left"/>
      <w:pPr>
        <w:ind w:left="404"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7940158"/>
    <w:multiLevelType w:val="hybridMultilevel"/>
    <w:tmpl w:val="81F29F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16357"/>
    <w:multiLevelType w:val="hybridMultilevel"/>
    <w:tmpl w:val="B9F8D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4412225">
    <w:abstractNumId w:val="1"/>
  </w:num>
  <w:num w:numId="2" w16cid:durableId="870217632">
    <w:abstractNumId w:val="5"/>
  </w:num>
  <w:num w:numId="3" w16cid:durableId="17009318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964183">
    <w:abstractNumId w:val="2"/>
  </w:num>
  <w:num w:numId="5" w16cid:durableId="2122604061">
    <w:abstractNumId w:val="4"/>
  </w:num>
  <w:num w:numId="6" w16cid:durableId="727992463">
    <w:abstractNumId w:val="3"/>
  </w:num>
  <w:num w:numId="7" w16cid:durableId="1106000211">
    <w:abstractNumId w:val="6"/>
  </w:num>
  <w:num w:numId="8" w16cid:durableId="982199755">
    <w:abstractNumId w:val="7"/>
  </w:num>
  <w:num w:numId="9" w16cid:durableId="214384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93"/>
    <w:rsid w:val="0000540A"/>
    <w:rsid w:val="00006888"/>
    <w:rsid w:val="00006984"/>
    <w:rsid w:val="00006F1A"/>
    <w:rsid w:val="0001039C"/>
    <w:rsid w:val="0001433E"/>
    <w:rsid w:val="00015CD7"/>
    <w:rsid w:val="00017925"/>
    <w:rsid w:val="00027235"/>
    <w:rsid w:val="00030B8C"/>
    <w:rsid w:val="000319DC"/>
    <w:rsid w:val="0003309B"/>
    <w:rsid w:val="00040CA9"/>
    <w:rsid w:val="000437E0"/>
    <w:rsid w:val="00044187"/>
    <w:rsid w:val="00044856"/>
    <w:rsid w:val="00046667"/>
    <w:rsid w:val="00047164"/>
    <w:rsid w:val="00051226"/>
    <w:rsid w:val="000516D7"/>
    <w:rsid w:val="00052DF2"/>
    <w:rsid w:val="00062857"/>
    <w:rsid w:val="00065695"/>
    <w:rsid w:val="00065C7C"/>
    <w:rsid w:val="00065FE6"/>
    <w:rsid w:val="00070724"/>
    <w:rsid w:val="00071262"/>
    <w:rsid w:val="00072197"/>
    <w:rsid w:val="00072370"/>
    <w:rsid w:val="000736E1"/>
    <w:rsid w:val="0007487D"/>
    <w:rsid w:val="000753C1"/>
    <w:rsid w:val="00075EF3"/>
    <w:rsid w:val="0008109E"/>
    <w:rsid w:val="00083D5E"/>
    <w:rsid w:val="0008529D"/>
    <w:rsid w:val="00090E45"/>
    <w:rsid w:val="000916D5"/>
    <w:rsid w:val="00097E39"/>
    <w:rsid w:val="000A1718"/>
    <w:rsid w:val="000A1969"/>
    <w:rsid w:val="000A32D1"/>
    <w:rsid w:val="000A5DA8"/>
    <w:rsid w:val="000A7947"/>
    <w:rsid w:val="000B1EF9"/>
    <w:rsid w:val="000B22BC"/>
    <w:rsid w:val="000B243D"/>
    <w:rsid w:val="000B25B8"/>
    <w:rsid w:val="000B4A96"/>
    <w:rsid w:val="000B6BFF"/>
    <w:rsid w:val="000C0F7D"/>
    <w:rsid w:val="000C1FBF"/>
    <w:rsid w:val="000C2837"/>
    <w:rsid w:val="000C5B8D"/>
    <w:rsid w:val="000D1182"/>
    <w:rsid w:val="000E1566"/>
    <w:rsid w:val="000E242F"/>
    <w:rsid w:val="000E4925"/>
    <w:rsid w:val="000E4AA6"/>
    <w:rsid w:val="000E4E58"/>
    <w:rsid w:val="000E769F"/>
    <w:rsid w:val="000F1DEE"/>
    <w:rsid w:val="000F28D1"/>
    <w:rsid w:val="000F3E6D"/>
    <w:rsid w:val="000F5018"/>
    <w:rsid w:val="000F5E03"/>
    <w:rsid w:val="000F6250"/>
    <w:rsid w:val="000F6FE7"/>
    <w:rsid w:val="000F74BB"/>
    <w:rsid w:val="00100B24"/>
    <w:rsid w:val="00101051"/>
    <w:rsid w:val="001026E2"/>
    <w:rsid w:val="001034CB"/>
    <w:rsid w:val="0010382D"/>
    <w:rsid w:val="00107302"/>
    <w:rsid w:val="00110384"/>
    <w:rsid w:val="00111061"/>
    <w:rsid w:val="00113723"/>
    <w:rsid w:val="00113C87"/>
    <w:rsid w:val="00114200"/>
    <w:rsid w:val="00114949"/>
    <w:rsid w:val="00116E3F"/>
    <w:rsid w:val="00124122"/>
    <w:rsid w:val="00124718"/>
    <w:rsid w:val="00124841"/>
    <w:rsid w:val="00126CF2"/>
    <w:rsid w:val="00130549"/>
    <w:rsid w:val="00130746"/>
    <w:rsid w:val="00131A4C"/>
    <w:rsid w:val="00135EA8"/>
    <w:rsid w:val="00142E72"/>
    <w:rsid w:val="00146DB7"/>
    <w:rsid w:val="001500D1"/>
    <w:rsid w:val="001506C1"/>
    <w:rsid w:val="0015225C"/>
    <w:rsid w:val="00153445"/>
    <w:rsid w:val="00154413"/>
    <w:rsid w:val="00154E32"/>
    <w:rsid w:val="00155494"/>
    <w:rsid w:val="00156C77"/>
    <w:rsid w:val="001574F8"/>
    <w:rsid w:val="001627D3"/>
    <w:rsid w:val="00163657"/>
    <w:rsid w:val="001646BD"/>
    <w:rsid w:val="00166172"/>
    <w:rsid w:val="00166FFD"/>
    <w:rsid w:val="001671B2"/>
    <w:rsid w:val="00172F44"/>
    <w:rsid w:val="001755A2"/>
    <w:rsid w:val="001808A4"/>
    <w:rsid w:val="00181930"/>
    <w:rsid w:val="00181F1F"/>
    <w:rsid w:val="0018524D"/>
    <w:rsid w:val="00187F17"/>
    <w:rsid w:val="001916E9"/>
    <w:rsid w:val="00191EC6"/>
    <w:rsid w:val="00194223"/>
    <w:rsid w:val="00196224"/>
    <w:rsid w:val="001970F1"/>
    <w:rsid w:val="001973AF"/>
    <w:rsid w:val="0019770A"/>
    <w:rsid w:val="001A5F37"/>
    <w:rsid w:val="001A6096"/>
    <w:rsid w:val="001A63CA"/>
    <w:rsid w:val="001B03A6"/>
    <w:rsid w:val="001B153E"/>
    <w:rsid w:val="001B2476"/>
    <w:rsid w:val="001C16FE"/>
    <w:rsid w:val="001C20EF"/>
    <w:rsid w:val="001C5F75"/>
    <w:rsid w:val="001C6383"/>
    <w:rsid w:val="001C711F"/>
    <w:rsid w:val="001D0471"/>
    <w:rsid w:val="001D37DE"/>
    <w:rsid w:val="001D4351"/>
    <w:rsid w:val="001D4CC7"/>
    <w:rsid w:val="001D6B1F"/>
    <w:rsid w:val="001D7C66"/>
    <w:rsid w:val="001E6528"/>
    <w:rsid w:val="001E6C39"/>
    <w:rsid w:val="001E74E3"/>
    <w:rsid w:val="001E7BD1"/>
    <w:rsid w:val="001F29B9"/>
    <w:rsid w:val="001F3E2D"/>
    <w:rsid w:val="001F53DF"/>
    <w:rsid w:val="002012E8"/>
    <w:rsid w:val="002017A8"/>
    <w:rsid w:val="00202538"/>
    <w:rsid w:val="00202753"/>
    <w:rsid w:val="0020303E"/>
    <w:rsid w:val="00205BE4"/>
    <w:rsid w:val="00206488"/>
    <w:rsid w:val="00207192"/>
    <w:rsid w:val="00207AE8"/>
    <w:rsid w:val="002100DC"/>
    <w:rsid w:val="002105C6"/>
    <w:rsid w:val="002133D6"/>
    <w:rsid w:val="00216689"/>
    <w:rsid w:val="00217BB2"/>
    <w:rsid w:val="00220EF9"/>
    <w:rsid w:val="00223DF3"/>
    <w:rsid w:val="00224603"/>
    <w:rsid w:val="00224ABB"/>
    <w:rsid w:val="00226120"/>
    <w:rsid w:val="00230F82"/>
    <w:rsid w:val="00233782"/>
    <w:rsid w:val="00234853"/>
    <w:rsid w:val="00235759"/>
    <w:rsid w:val="002417A0"/>
    <w:rsid w:val="00243107"/>
    <w:rsid w:val="00243C49"/>
    <w:rsid w:val="00245350"/>
    <w:rsid w:val="002534C6"/>
    <w:rsid w:val="00254BA3"/>
    <w:rsid w:val="00254BBC"/>
    <w:rsid w:val="0025763F"/>
    <w:rsid w:val="002604E8"/>
    <w:rsid w:val="0026236F"/>
    <w:rsid w:val="00263210"/>
    <w:rsid w:val="00265794"/>
    <w:rsid w:val="002662C6"/>
    <w:rsid w:val="00266CD2"/>
    <w:rsid w:val="00267CF7"/>
    <w:rsid w:val="00271B53"/>
    <w:rsid w:val="002727E9"/>
    <w:rsid w:val="00273660"/>
    <w:rsid w:val="00273D48"/>
    <w:rsid w:val="00274249"/>
    <w:rsid w:val="002747DC"/>
    <w:rsid w:val="0027570A"/>
    <w:rsid w:val="00280D78"/>
    <w:rsid w:val="0028100C"/>
    <w:rsid w:val="0028349C"/>
    <w:rsid w:val="00293B64"/>
    <w:rsid w:val="0029615E"/>
    <w:rsid w:val="00296161"/>
    <w:rsid w:val="00296B1E"/>
    <w:rsid w:val="00297EFB"/>
    <w:rsid w:val="002A1518"/>
    <w:rsid w:val="002A57FF"/>
    <w:rsid w:val="002A6CD6"/>
    <w:rsid w:val="002A79B9"/>
    <w:rsid w:val="002B0968"/>
    <w:rsid w:val="002B4B45"/>
    <w:rsid w:val="002B53CC"/>
    <w:rsid w:val="002B6380"/>
    <w:rsid w:val="002B6972"/>
    <w:rsid w:val="002B7D29"/>
    <w:rsid w:val="002C07F5"/>
    <w:rsid w:val="002C0E96"/>
    <w:rsid w:val="002C157C"/>
    <w:rsid w:val="002C19D3"/>
    <w:rsid w:val="002C2115"/>
    <w:rsid w:val="002C28B4"/>
    <w:rsid w:val="002C2EC4"/>
    <w:rsid w:val="002C308F"/>
    <w:rsid w:val="002C624C"/>
    <w:rsid w:val="002D2637"/>
    <w:rsid w:val="002D2A56"/>
    <w:rsid w:val="002D3D93"/>
    <w:rsid w:val="002D4BA4"/>
    <w:rsid w:val="002D70D4"/>
    <w:rsid w:val="002E0D13"/>
    <w:rsid w:val="002E2665"/>
    <w:rsid w:val="002E4228"/>
    <w:rsid w:val="002E4DA9"/>
    <w:rsid w:val="002E5D0F"/>
    <w:rsid w:val="002E7CD6"/>
    <w:rsid w:val="002F0B7E"/>
    <w:rsid w:val="002F293C"/>
    <w:rsid w:val="002F2CE4"/>
    <w:rsid w:val="002F64DA"/>
    <w:rsid w:val="002F767D"/>
    <w:rsid w:val="002F7FAA"/>
    <w:rsid w:val="0030088B"/>
    <w:rsid w:val="00300D7C"/>
    <w:rsid w:val="003049B9"/>
    <w:rsid w:val="00305153"/>
    <w:rsid w:val="00306617"/>
    <w:rsid w:val="00306D85"/>
    <w:rsid w:val="00307EE0"/>
    <w:rsid w:val="00311975"/>
    <w:rsid w:val="00314390"/>
    <w:rsid w:val="00315EB1"/>
    <w:rsid w:val="00321314"/>
    <w:rsid w:val="003214F5"/>
    <w:rsid w:val="00321640"/>
    <w:rsid w:val="00323E57"/>
    <w:rsid w:val="0033185A"/>
    <w:rsid w:val="00331FE9"/>
    <w:rsid w:val="00333B17"/>
    <w:rsid w:val="00333E0F"/>
    <w:rsid w:val="00334E14"/>
    <w:rsid w:val="00335F27"/>
    <w:rsid w:val="003368FA"/>
    <w:rsid w:val="003415B2"/>
    <w:rsid w:val="00344E2F"/>
    <w:rsid w:val="00347CBE"/>
    <w:rsid w:val="003508BF"/>
    <w:rsid w:val="00356309"/>
    <w:rsid w:val="0035710F"/>
    <w:rsid w:val="003576B5"/>
    <w:rsid w:val="00360122"/>
    <w:rsid w:val="00361E35"/>
    <w:rsid w:val="00364059"/>
    <w:rsid w:val="00364B57"/>
    <w:rsid w:val="00365D5C"/>
    <w:rsid w:val="00367802"/>
    <w:rsid w:val="00367862"/>
    <w:rsid w:val="00373C3E"/>
    <w:rsid w:val="00374904"/>
    <w:rsid w:val="003764DE"/>
    <w:rsid w:val="00377726"/>
    <w:rsid w:val="00380DCD"/>
    <w:rsid w:val="003810FF"/>
    <w:rsid w:val="00384293"/>
    <w:rsid w:val="00384B37"/>
    <w:rsid w:val="0038517E"/>
    <w:rsid w:val="0038590F"/>
    <w:rsid w:val="00385CEE"/>
    <w:rsid w:val="0039384A"/>
    <w:rsid w:val="00394B88"/>
    <w:rsid w:val="0039620A"/>
    <w:rsid w:val="00396C63"/>
    <w:rsid w:val="0039739A"/>
    <w:rsid w:val="00397D34"/>
    <w:rsid w:val="003A41FD"/>
    <w:rsid w:val="003A684C"/>
    <w:rsid w:val="003B1293"/>
    <w:rsid w:val="003B1AD7"/>
    <w:rsid w:val="003B62F3"/>
    <w:rsid w:val="003B66FD"/>
    <w:rsid w:val="003B67AF"/>
    <w:rsid w:val="003D17D8"/>
    <w:rsid w:val="003D24A8"/>
    <w:rsid w:val="003D53CE"/>
    <w:rsid w:val="003D69E8"/>
    <w:rsid w:val="003D6EDE"/>
    <w:rsid w:val="003D7AE1"/>
    <w:rsid w:val="003E22B3"/>
    <w:rsid w:val="003E2637"/>
    <w:rsid w:val="003E3F0A"/>
    <w:rsid w:val="003E5325"/>
    <w:rsid w:val="003E5534"/>
    <w:rsid w:val="003E6629"/>
    <w:rsid w:val="003E7521"/>
    <w:rsid w:val="003E7FAE"/>
    <w:rsid w:val="003F04AD"/>
    <w:rsid w:val="003F18DA"/>
    <w:rsid w:val="003F21E2"/>
    <w:rsid w:val="003F732C"/>
    <w:rsid w:val="004005E0"/>
    <w:rsid w:val="00412947"/>
    <w:rsid w:val="004145D0"/>
    <w:rsid w:val="00415130"/>
    <w:rsid w:val="00421D35"/>
    <w:rsid w:val="00423888"/>
    <w:rsid w:val="00426102"/>
    <w:rsid w:val="0042653F"/>
    <w:rsid w:val="004277BB"/>
    <w:rsid w:val="004324BB"/>
    <w:rsid w:val="00433C9D"/>
    <w:rsid w:val="00434606"/>
    <w:rsid w:val="00440859"/>
    <w:rsid w:val="00443BFB"/>
    <w:rsid w:val="00444D6D"/>
    <w:rsid w:val="00445A29"/>
    <w:rsid w:val="00461CE7"/>
    <w:rsid w:val="00462827"/>
    <w:rsid w:val="00464111"/>
    <w:rsid w:val="004657D5"/>
    <w:rsid w:val="00470B25"/>
    <w:rsid w:val="00473147"/>
    <w:rsid w:val="00474E81"/>
    <w:rsid w:val="00476E5B"/>
    <w:rsid w:val="0048323B"/>
    <w:rsid w:val="00483589"/>
    <w:rsid w:val="00484D6C"/>
    <w:rsid w:val="00486A3D"/>
    <w:rsid w:val="00487CF2"/>
    <w:rsid w:val="00490714"/>
    <w:rsid w:val="004915BA"/>
    <w:rsid w:val="004940EB"/>
    <w:rsid w:val="00494F6C"/>
    <w:rsid w:val="00495A7B"/>
    <w:rsid w:val="004A40D7"/>
    <w:rsid w:val="004A7373"/>
    <w:rsid w:val="004B0B0E"/>
    <w:rsid w:val="004B4DE3"/>
    <w:rsid w:val="004B590A"/>
    <w:rsid w:val="004B5BD0"/>
    <w:rsid w:val="004B65A7"/>
    <w:rsid w:val="004B6909"/>
    <w:rsid w:val="004B6D21"/>
    <w:rsid w:val="004B79E4"/>
    <w:rsid w:val="004B7CEE"/>
    <w:rsid w:val="004C14EC"/>
    <w:rsid w:val="004C3B3F"/>
    <w:rsid w:val="004C73CA"/>
    <w:rsid w:val="004D37E8"/>
    <w:rsid w:val="004D3D5A"/>
    <w:rsid w:val="004D489C"/>
    <w:rsid w:val="004D4D4B"/>
    <w:rsid w:val="004D7331"/>
    <w:rsid w:val="004E13C7"/>
    <w:rsid w:val="004E37BA"/>
    <w:rsid w:val="004F25B3"/>
    <w:rsid w:val="004F3693"/>
    <w:rsid w:val="004F4DF1"/>
    <w:rsid w:val="004F6913"/>
    <w:rsid w:val="004F7015"/>
    <w:rsid w:val="00500BE2"/>
    <w:rsid w:val="00500D26"/>
    <w:rsid w:val="005053B2"/>
    <w:rsid w:val="005102DF"/>
    <w:rsid w:val="0051152C"/>
    <w:rsid w:val="00512810"/>
    <w:rsid w:val="00512E58"/>
    <w:rsid w:val="00517FC6"/>
    <w:rsid w:val="005217B0"/>
    <w:rsid w:val="00525E68"/>
    <w:rsid w:val="00525FF1"/>
    <w:rsid w:val="00526790"/>
    <w:rsid w:val="00530668"/>
    <w:rsid w:val="005353EC"/>
    <w:rsid w:val="00535713"/>
    <w:rsid w:val="005358A3"/>
    <w:rsid w:val="005407C4"/>
    <w:rsid w:val="005414DB"/>
    <w:rsid w:val="00543584"/>
    <w:rsid w:val="0054551F"/>
    <w:rsid w:val="00545A84"/>
    <w:rsid w:val="00547123"/>
    <w:rsid w:val="00547B28"/>
    <w:rsid w:val="00547C51"/>
    <w:rsid w:val="00554F08"/>
    <w:rsid w:val="0056061B"/>
    <w:rsid w:val="0056164A"/>
    <w:rsid w:val="00561BF6"/>
    <w:rsid w:val="005642C2"/>
    <w:rsid w:val="005654DE"/>
    <w:rsid w:val="00565938"/>
    <w:rsid w:val="00565B7E"/>
    <w:rsid w:val="00565C20"/>
    <w:rsid w:val="00566440"/>
    <w:rsid w:val="005700AA"/>
    <w:rsid w:val="005703AA"/>
    <w:rsid w:val="0057202F"/>
    <w:rsid w:val="0057274D"/>
    <w:rsid w:val="005728B6"/>
    <w:rsid w:val="005743F4"/>
    <w:rsid w:val="00575227"/>
    <w:rsid w:val="0057562D"/>
    <w:rsid w:val="0057607A"/>
    <w:rsid w:val="005766AC"/>
    <w:rsid w:val="0058277D"/>
    <w:rsid w:val="00582A14"/>
    <w:rsid w:val="00584994"/>
    <w:rsid w:val="00585557"/>
    <w:rsid w:val="0058586B"/>
    <w:rsid w:val="0058662E"/>
    <w:rsid w:val="005873AB"/>
    <w:rsid w:val="00591498"/>
    <w:rsid w:val="00591F1C"/>
    <w:rsid w:val="00597302"/>
    <w:rsid w:val="005974E7"/>
    <w:rsid w:val="005A0C80"/>
    <w:rsid w:val="005A5CB0"/>
    <w:rsid w:val="005B4CB6"/>
    <w:rsid w:val="005B70CF"/>
    <w:rsid w:val="005C038D"/>
    <w:rsid w:val="005C082C"/>
    <w:rsid w:val="005C093C"/>
    <w:rsid w:val="005C2D65"/>
    <w:rsid w:val="005C5D60"/>
    <w:rsid w:val="005D0EE6"/>
    <w:rsid w:val="005D1136"/>
    <w:rsid w:val="005D2609"/>
    <w:rsid w:val="005D3554"/>
    <w:rsid w:val="005D4F84"/>
    <w:rsid w:val="005D6C51"/>
    <w:rsid w:val="005E266C"/>
    <w:rsid w:val="005E42CF"/>
    <w:rsid w:val="005E7719"/>
    <w:rsid w:val="005E7DBA"/>
    <w:rsid w:val="005F2AAA"/>
    <w:rsid w:val="005F34CE"/>
    <w:rsid w:val="005F5761"/>
    <w:rsid w:val="005F5ED6"/>
    <w:rsid w:val="005F7DC7"/>
    <w:rsid w:val="00600781"/>
    <w:rsid w:val="00601FA9"/>
    <w:rsid w:val="00602F9C"/>
    <w:rsid w:val="00603A57"/>
    <w:rsid w:val="00606342"/>
    <w:rsid w:val="00610072"/>
    <w:rsid w:val="006103DC"/>
    <w:rsid w:val="00612072"/>
    <w:rsid w:val="006167BD"/>
    <w:rsid w:val="00620B73"/>
    <w:rsid w:val="00621326"/>
    <w:rsid w:val="00622B10"/>
    <w:rsid w:val="00624C53"/>
    <w:rsid w:val="00625744"/>
    <w:rsid w:val="00626DD4"/>
    <w:rsid w:val="0063476F"/>
    <w:rsid w:val="00634C4A"/>
    <w:rsid w:val="00637314"/>
    <w:rsid w:val="006378CD"/>
    <w:rsid w:val="00637E0D"/>
    <w:rsid w:val="00644719"/>
    <w:rsid w:val="00646278"/>
    <w:rsid w:val="00646E6C"/>
    <w:rsid w:val="0064771C"/>
    <w:rsid w:val="00651A87"/>
    <w:rsid w:val="0065338D"/>
    <w:rsid w:val="00653581"/>
    <w:rsid w:val="00653F25"/>
    <w:rsid w:val="00660981"/>
    <w:rsid w:val="006618C9"/>
    <w:rsid w:val="00663B74"/>
    <w:rsid w:val="0066437A"/>
    <w:rsid w:val="00664557"/>
    <w:rsid w:val="0066485B"/>
    <w:rsid w:val="006648EF"/>
    <w:rsid w:val="00665330"/>
    <w:rsid w:val="006672D8"/>
    <w:rsid w:val="00671DD3"/>
    <w:rsid w:val="00673244"/>
    <w:rsid w:val="00681673"/>
    <w:rsid w:val="00682130"/>
    <w:rsid w:val="00687C60"/>
    <w:rsid w:val="00695BE1"/>
    <w:rsid w:val="006971A6"/>
    <w:rsid w:val="006A479B"/>
    <w:rsid w:val="006A64ED"/>
    <w:rsid w:val="006A728A"/>
    <w:rsid w:val="006A782E"/>
    <w:rsid w:val="006B76DE"/>
    <w:rsid w:val="006C6FE5"/>
    <w:rsid w:val="006D30C3"/>
    <w:rsid w:val="006D61BC"/>
    <w:rsid w:val="006D77F4"/>
    <w:rsid w:val="006D788F"/>
    <w:rsid w:val="006D7CB7"/>
    <w:rsid w:val="006E5D5B"/>
    <w:rsid w:val="006E6142"/>
    <w:rsid w:val="006F1821"/>
    <w:rsid w:val="006F5306"/>
    <w:rsid w:val="006F54BF"/>
    <w:rsid w:val="006F5D63"/>
    <w:rsid w:val="006F64F2"/>
    <w:rsid w:val="006F67F5"/>
    <w:rsid w:val="00706B23"/>
    <w:rsid w:val="00711E56"/>
    <w:rsid w:val="00713787"/>
    <w:rsid w:val="00716332"/>
    <w:rsid w:val="00717BF5"/>
    <w:rsid w:val="00721457"/>
    <w:rsid w:val="0072189B"/>
    <w:rsid w:val="00724DF1"/>
    <w:rsid w:val="00726CEF"/>
    <w:rsid w:val="0073005E"/>
    <w:rsid w:val="007356CD"/>
    <w:rsid w:val="00742E6A"/>
    <w:rsid w:val="007438E4"/>
    <w:rsid w:val="007442AB"/>
    <w:rsid w:val="00746506"/>
    <w:rsid w:val="0076065E"/>
    <w:rsid w:val="00772CE1"/>
    <w:rsid w:val="0077358C"/>
    <w:rsid w:val="007743B0"/>
    <w:rsid w:val="007764AE"/>
    <w:rsid w:val="007817A5"/>
    <w:rsid w:val="00785022"/>
    <w:rsid w:val="00787D42"/>
    <w:rsid w:val="00791243"/>
    <w:rsid w:val="007968CB"/>
    <w:rsid w:val="00796AE0"/>
    <w:rsid w:val="0079798B"/>
    <w:rsid w:val="00797BFD"/>
    <w:rsid w:val="007A1186"/>
    <w:rsid w:val="007A204E"/>
    <w:rsid w:val="007A2673"/>
    <w:rsid w:val="007A38DD"/>
    <w:rsid w:val="007A5AF5"/>
    <w:rsid w:val="007A5D39"/>
    <w:rsid w:val="007B0D2E"/>
    <w:rsid w:val="007B4E03"/>
    <w:rsid w:val="007C33B8"/>
    <w:rsid w:val="007D05EE"/>
    <w:rsid w:val="007D1041"/>
    <w:rsid w:val="007D13C7"/>
    <w:rsid w:val="007D405E"/>
    <w:rsid w:val="007D5B17"/>
    <w:rsid w:val="007D6721"/>
    <w:rsid w:val="007E1001"/>
    <w:rsid w:val="007E100B"/>
    <w:rsid w:val="007F056E"/>
    <w:rsid w:val="007F079A"/>
    <w:rsid w:val="007F1189"/>
    <w:rsid w:val="007F151E"/>
    <w:rsid w:val="007F19AB"/>
    <w:rsid w:val="007F25F5"/>
    <w:rsid w:val="007F3CA6"/>
    <w:rsid w:val="007F502A"/>
    <w:rsid w:val="007F6DAE"/>
    <w:rsid w:val="00804820"/>
    <w:rsid w:val="00805456"/>
    <w:rsid w:val="008104AF"/>
    <w:rsid w:val="00811C90"/>
    <w:rsid w:val="00814C19"/>
    <w:rsid w:val="008157F6"/>
    <w:rsid w:val="00815AAC"/>
    <w:rsid w:val="0082086B"/>
    <w:rsid w:val="00823F39"/>
    <w:rsid w:val="00823FA3"/>
    <w:rsid w:val="00827D43"/>
    <w:rsid w:val="00827DAD"/>
    <w:rsid w:val="00831F52"/>
    <w:rsid w:val="008327C9"/>
    <w:rsid w:val="008406A0"/>
    <w:rsid w:val="0084092D"/>
    <w:rsid w:val="008469F0"/>
    <w:rsid w:val="008500FF"/>
    <w:rsid w:val="00851E2D"/>
    <w:rsid w:val="00852F36"/>
    <w:rsid w:val="0085393E"/>
    <w:rsid w:val="00856FC3"/>
    <w:rsid w:val="0085704D"/>
    <w:rsid w:val="00862BAB"/>
    <w:rsid w:val="00863D95"/>
    <w:rsid w:val="00864A4B"/>
    <w:rsid w:val="00865CED"/>
    <w:rsid w:val="00867FB5"/>
    <w:rsid w:val="008700AD"/>
    <w:rsid w:val="00870108"/>
    <w:rsid w:val="00870D58"/>
    <w:rsid w:val="0087275F"/>
    <w:rsid w:val="00872CD5"/>
    <w:rsid w:val="008732B1"/>
    <w:rsid w:val="00874E16"/>
    <w:rsid w:val="00875396"/>
    <w:rsid w:val="00876B5B"/>
    <w:rsid w:val="00881126"/>
    <w:rsid w:val="0088641E"/>
    <w:rsid w:val="008916ED"/>
    <w:rsid w:val="0089292F"/>
    <w:rsid w:val="008932D3"/>
    <w:rsid w:val="0089739F"/>
    <w:rsid w:val="00897D73"/>
    <w:rsid w:val="008A32BB"/>
    <w:rsid w:val="008A3DD1"/>
    <w:rsid w:val="008A4C54"/>
    <w:rsid w:val="008A5267"/>
    <w:rsid w:val="008A570B"/>
    <w:rsid w:val="008A67C6"/>
    <w:rsid w:val="008B0C44"/>
    <w:rsid w:val="008B182B"/>
    <w:rsid w:val="008B2CC9"/>
    <w:rsid w:val="008B36A7"/>
    <w:rsid w:val="008B46E0"/>
    <w:rsid w:val="008B6103"/>
    <w:rsid w:val="008B7BEB"/>
    <w:rsid w:val="008C00A2"/>
    <w:rsid w:val="008C22FE"/>
    <w:rsid w:val="008C2EC1"/>
    <w:rsid w:val="008C514D"/>
    <w:rsid w:val="008C7DB7"/>
    <w:rsid w:val="008D1EF7"/>
    <w:rsid w:val="008D4B07"/>
    <w:rsid w:val="008D4D96"/>
    <w:rsid w:val="008D629E"/>
    <w:rsid w:val="008E1419"/>
    <w:rsid w:val="008E195E"/>
    <w:rsid w:val="008E1D0F"/>
    <w:rsid w:val="008E25D7"/>
    <w:rsid w:val="008E3806"/>
    <w:rsid w:val="008E4A72"/>
    <w:rsid w:val="008E4DD3"/>
    <w:rsid w:val="008E63FC"/>
    <w:rsid w:val="008F2678"/>
    <w:rsid w:val="008F347C"/>
    <w:rsid w:val="008F5052"/>
    <w:rsid w:val="008F6361"/>
    <w:rsid w:val="009001A3"/>
    <w:rsid w:val="00901950"/>
    <w:rsid w:val="0090222B"/>
    <w:rsid w:val="00902857"/>
    <w:rsid w:val="009030B1"/>
    <w:rsid w:val="00910A5D"/>
    <w:rsid w:val="00911BC2"/>
    <w:rsid w:val="00912F0B"/>
    <w:rsid w:val="00916E14"/>
    <w:rsid w:val="00920BAF"/>
    <w:rsid w:val="00927F9D"/>
    <w:rsid w:val="009308FB"/>
    <w:rsid w:val="00931746"/>
    <w:rsid w:val="00932053"/>
    <w:rsid w:val="009329CB"/>
    <w:rsid w:val="00932A63"/>
    <w:rsid w:val="00933B98"/>
    <w:rsid w:val="009355BA"/>
    <w:rsid w:val="00936643"/>
    <w:rsid w:val="00940480"/>
    <w:rsid w:val="00941081"/>
    <w:rsid w:val="00941A80"/>
    <w:rsid w:val="00942DB0"/>
    <w:rsid w:val="009451A7"/>
    <w:rsid w:val="00947EC7"/>
    <w:rsid w:val="0095029E"/>
    <w:rsid w:val="009550C5"/>
    <w:rsid w:val="0096561E"/>
    <w:rsid w:val="00970FE0"/>
    <w:rsid w:val="00973A29"/>
    <w:rsid w:val="009833FB"/>
    <w:rsid w:val="0098388C"/>
    <w:rsid w:val="00990CE0"/>
    <w:rsid w:val="00990EAD"/>
    <w:rsid w:val="00991D0C"/>
    <w:rsid w:val="00991E2E"/>
    <w:rsid w:val="00995AB9"/>
    <w:rsid w:val="009A012B"/>
    <w:rsid w:val="009A18B7"/>
    <w:rsid w:val="009A3564"/>
    <w:rsid w:val="009A36D5"/>
    <w:rsid w:val="009B0A5F"/>
    <w:rsid w:val="009B1D99"/>
    <w:rsid w:val="009B1E4D"/>
    <w:rsid w:val="009B3887"/>
    <w:rsid w:val="009B565C"/>
    <w:rsid w:val="009B6C54"/>
    <w:rsid w:val="009C19EC"/>
    <w:rsid w:val="009C34ED"/>
    <w:rsid w:val="009C66A3"/>
    <w:rsid w:val="009D003C"/>
    <w:rsid w:val="009D1B36"/>
    <w:rsid w:val="009D2E66"/>
    <w:rsid w:val="009D3519"/>
    <w:rsid w:val="009D56DA"/>
    <w:rsid w:val="009D5DB3"/>
    <w:rsid w:val="009D7DA6"/>
    <w:rsid w:val="009E06DC"/>
    <w:rsid w:val="009E222B"/>
    <w:rsid w:val="009E7872"/>
    <w:rsid w:val="009F1E13"/>
    <w:rsid w:val="00A01BEB"/>
    <w:rsid w:val="00A02174"/>
    <w:rsid w:val="00A0696B"/>
    <w:rsid w:val="00A06C03"/>
    <w:rsid w:val="00A108C7"/>
    <w:rsid w:val="00A11D4D"/>
    <w:rsid w:val="00A13DF1"/>
    <w:rsid w:val="00A14223"/>
    <w:rsid w:val="00A14797"/>
    <w:rsid w:val="00A2005C"/>
    <w:rsid w:val="00A20309"/>
    <w:rsid w:val="00A20B56"/>
    <w:rsid w:val="00A228B4"/>
    <w:rsid w:val="00A24A4E"/>
    <w:rsid w:val="00A265F0"/>
    <w:rsid w:val="00A26F25"/>
    <w:rsid w:val="00A30D68"/>
    <w:rsid w:val="00A3176A"/>
    <w:rsid w:val="00A34B0E"/>
    <w:rsid w:val="00A37326"/>
    <w:rsid w:val="00A378D8"/>
    <w:rsid w:val="00A433F6"/>
    <w:rsid w:val="00A43686"/>
    <w:rsid w:val="00A437F3"/>
    <w:rsid w:val="00A44991"/>
    <w:rsid w:val="00A45FF3"/>
    <w:rsid w:val="00A469F5"/>
    <w:rsid w:val="00A47506"/>
    <w:rsid w:val="00A50EC6"/>
    <w:rsid w:val="00A546FB"/>
    <w:rsid w:val="00A54A3F"/>
    <w:rsid w:val="00A54B8C"/>
    <w:rsid w:val="00A551A1"/>
    <w:rsid w:val="00A558B4"/>
    <w:rsid w:val="00A57E79"/>
    <w:rsid w:val="00A623AF"/>
    <w:rsid w:val="00A624F3"/>
    <w:rsid w:val="00A704E6"/>
    <w:rsid w:val="00A7129C"/>
    <w:rsid w:val="00A71509"/>
    <w:rsid w:val="00A733C9"/>
    <w:rsid w:val="00A740D4"/>
    <w:rsid w:val="00A75124"/>
    <w:rsid w:val="00A76C6A"/>
    <w:rsid w:val="00A80B12"/>
    <w:rsid w:val="00A85928"/>
    <w:rsid w:val="00A86207"/>
    <w:rsid w:val="00A90960"/>
    <w:rsid w:val="00A92A03"/>
    <w:rsid w:val="00A959A7"/>
    <w:rsid w:val="00A97BCB"/>
    <w:rsid w:val="00AA1A85"/>
    <w:rsid w:val="00AA4141"/>
    <w:rsid w:val="00AB0739"/>
    <w:rsid w:val="00AB0AC9"/>
    <w:rsid w:val="00AB436B"/>
    <w:rsid w:val="00AB4BC2"/>
    <w:rsid w:val="00AB5FFC"/>
    <w:rsid w:val="00AB6303"/>
    <w:rsid w:val="00AB6C91"/>
    <w:rsid w:val="00AB6E2B"/>
    <w:rsid w:val="00AC03C3"/>
    <w:rsid w:val="00AC7AEA"/>
    <w:rsid w:val="00AD032B"/>
    <w:rsid w:val="00AD42B3"/>
    <w:rsid w:val="00AD43DE"/>
    <w:rsid w:val="00AD5924"/>
    <w:rsid w:val="00AD6B97"/>
    <w:rsid w:val="00AD7980"/>
    <w:rsid w:val="00AE1075"/>
    <w:rsid w:val="00AE16C7"/>
    <w:rsid w:val="00AE19FA"/>
    <w:rsid w:val="00AE3058"/>
    <w:rsid w:val="00AE6086"/>
    <w:rsid w:val="00AF22F5"/>
    <w:rsid w:val="00AF2BE5"/>
    <w:rsid w:val="00AF7A52"/>
    <w:rsid w:val="00B03F16"/>
    <w:rsid w:val="00B0440F"/>
    <w:rsid w:val="00B04F69"/>
    <w:rsid w:val="00B05096"/>
    <w:rsid w:val="00B05CFD"/>
    <w:rsid w:val="00B06994"/>
    <w:rsid w:val="00B069F0"/>
    <w:rsid w:val="00B07648"/>
    <w:rsid w:val="00B11B92"/>
    <w:rsid w:val="00B14ABD"/>
    <w:rsid w:val="00B155C2"/>
    <w:rsid w:val="00B1683B"/>
    <w:rsid w:val="00B1733E"/>
    <w:rsid w:val="00B17BA7"/>
    <w:rsid w:val="00B204CB"/>
    <w:rsid w:val="00B22389"/>
    <w:rsid w:val="00B228B0"/>
    <w:rsid w:val="00B22F5D"/>
    <w:rsid w:val="00B22FEB"/>
    <w:rsid w:val="00B24930"/>
    <w:rsid w:val="00B249BB"/>
    <w:rsid w:val="00B2561A"/>
    <w:rsid w:val="00B40BE4"/>
    <w:rsid w:val="00B415CF"/>
    <w:rsid w:val="00B41B9B"/>
    <w:rsid w:val="00B42081"/>
    <w:rsid w:val="00B438EF"/>
    <w:rsid w:val="00B4535E"/>
    <w:rsid w:val="00B46E43"/>
    <w:rsid w:val="00B477DE"/>
    <w:rsid w:val="00B50084"/>
    <w:rsid w:val="00B51EA1"/>
    <w:rsid w:val="00B52CF1"/>
    <w:rsid w:val="00B52DF2"/>
    <w:rsid w:val="00B533DE"/>
    <w:rsid w:val="00B552AD"/>
    <w:rsid w:val="00B5531D"/>
    <w:rsid w:val="00B55588"/>
    <w:rsid w:val="00B5714D"/>
    <w:rsid w:val="00B60F23"/>
    <w:rsid w:val="00B64DF2"/>
    <w:rsid w:val="00B655FA"/>
    <w:rsid w:val="00B664A7"/>
    <w:rsid w:val="00B67883"/>
    <w:rsid w:val="00B67C2A"/>
    <w:rsid w:val="00B72DAA"/>
    <w:rsid w:val="00B73EFD"/>
    <w:rsid w:val="00B74AB3"/>
    <w:rsid w:val="00B76AC3"/>
    <w:rsid w:val="00B8135A"/>
    <w:rsid w:val="00B831C5"/>
    <w:rsid w:val="00B84148"/>
    <w:rsid w:val="00B8430F"/>
    <w:rsid w:val="00B86B69"/>
    <w:rsid w:val="00B86C5C"/>
    <w:rsid w:val="00B86C65"/>
    <w:rsid w:val="00B90756"/>
    <w:rsid w:val="00B91983"/>
    <w:rsid w:val="00B92ABB"/>
    <w:rsid w:val="00B95C34"/>
    <w:rsid w:val="00BA00EB"/>
    <w:rsid w:val="00BA0D5E"/>
    <w:rsid w:val="00BA15BA"/>
    <w:rsid w:val="00BA26E7"/>
    <w:rsid w:val="00BA40EB"/>
    <w:rsid w:val="00BA4224"/>
    <w:rsid w:val="00BA4B9B"/>
    <w:rsid w:val="00BA5F87"/>
    <w:rsid w:val="00BA73ED"/>
    <w:rsid w:val="00BB25E0"/>
    <w:rsid w:val="00BB41EC"/>
    <w:rsid w:val="00BB5124"/>
    <w:rsid w:val="00BB5C2D"/>
    <w:rsid w:val="00BC0812"/>
    <w:rsid w:val="00BC114F"/>
    <w:rsid w:val="00BC5A93"/>
    <w:rsid w:val="00BD0D43"/>
    <w:rsid w:val="00BD3588"/>
    <w:rsid w:val="00BD3700"/>
    <w:rsid w:val="00BD7275"/>
    <w:rsid w:val="00BD77FE"/>
    <w:rsid w:val="00BE08FC"/>
    <w:rsid w:val="00BE0BFC"/>
    <w:rsid w:val="00BE5F84"/>
    <w:rsid w:val="00BE6CC9"/>
    <w:rsid w:val="00BE7162"/>
    <w:rsid w:val="00BF163E"/>
    <w:rsid w:val="00BF28BF"/>
    <w:rsid w:val="00BF2A70"/>
    <w:rsid w:val="00BF5C86"/>
    <w:rsid w:val="00BF6A43"/>
    <w:rsid w:val="00C00DC3"/>
    <w:rsid w:val="00C01E8D"/>
    <w:rsid w:val="00C03372"/>
    <w:rsid w:val="00C03557"/>
    <w:rsid w:val="00C03CE6"/>
    <w:rsid w:val="00C04DDA"/>
    <w:rsid w:val="00C055D6"/>
    <w:rsid w:val="00C07DF5"/>
    <w:rsid w:val="00C20156"/>
    <w:rsid w:val="00C24042"/>
    <w:rsid w:val="00C246C8"/>
    <w:rsid w:val="00C256FB"/>
    <w:rsid w:val="00C2584D"/>
    <w:rsid w:val="00C314AF"/>
    <w:rsid w:val="00C346C3"/>
    <w:rsid w:val="00C34D61"/>
    <w:rsid w:val="00C350D7"/>
    <w:rsid w:val="00C3595B"/>
    <w:rsid w:val="00C35CE3"/>
    <w:rsid w:val="00C36937"/>
    <w:rsid w:val="00C37DFA"/>
    <w:rsid w:val="00C408AF"/>
    <w:rsid w:val="00C4335A"/>
    <w:rsid w:val="00C451C0"/>
    <w:rsid w:val="00C468ED"/>
    <w:rsid w:val="00C46FFD"/>
    <w:rsid w:val="00C5199C"/>
    <w:rsid w:val="00C52385"/>
    <w:rsid w:val="00C5413E"/>
    <w:rsid w:val="00C54F13"/>
    <w:rsid w:val="00C61870"/>
    <w:rsid w:val="00C64455"/>
    <w:rsid w:val="00C645BE"/>
    <w:rsid w:val="00C70EE1"/>
    <w:rsid w:val="00C70F77"/>
    <w:rsid w:val="00C71B53"/>
    <w:rsid w:val="00C739F0"/>
    <w:rsid w:val="00C754C5"/>
    <w:rsid w:val="00C76DDD"/>
    <w:rsid w:val="00C8183D"/>
    <w:rsid w:val="00C82B80"/>
    <w:rsid w:val="00C87A9C"/>
    <w:rsid w:val="00C90BB6"/>
    <w:rsid w:val="00C92C41"/>
    <w:rsid w:val="00CA04DE"/>
    <w:rsid w:val="00CA0C1D"/>
    <w:rsid w:val="00CA1E2D"/>
    <w:rsid w:val="00CA4A3C"/>
    <w:rsid w:val="00CA5472"/>
    <w:rsid w:val="00CA722D"/>
    <w:rsid w:val="00CB01C4"/>
    <w:rsid w:val="00CB2367"/>
    <w:rsid w:val="00CB42BB"/>
    <w:rsid w:val="00CB7B8B"/>
    <w:rsid w:val="00CB7CA8"/>
    <w:rsid w:val="00CB7F4D"/>
    <w:rsid w:val="00CC046E"/>
    <w:rsid w:val="00CC0D83"/>
    <w:rsid w:val="00CC1C66"/>
    <w:rsid w:val="00CC2055"/>
    <w:rsid w:val="00CC39D3"/>
    <w:rsid w:val="00CC47BC"/>
    <w:rsid w:val="00CC50C2"/>
    <w:rsid w:val="00CC59A7"/>
    <w:rsid w:val="00CC6C0A"/>
    <w:rsid w:val="00CD28A5"/>
    <w:rsid w:val="00CD2A7E"/>
    <w:rsid w:val="00CD38FF"/>
    <w:rsid w:val="00CD3CD2"/>
    <w:rsid w:val="00CD5A94"/>
    <w:rsid w:val="00CE2647"/>
    <w:rsid w:val="00CE29C4"/>
    <w:rsid w:val="00CE2A07"/>
    <w:rsid w:val="00CE32DB"/>
    <w:rsid w:val="00CE4B96"/>
    <w:rsid w:val="00CE71B6"/>
    <w:rsid w:val="00CE726E"/>
    <w:rsid w:val="00CF1200"/>
    <w:rsid w:val="00CF1A7E"/>
    <w:rsid w:val="00CF619A"/>
    <w:rsid w:val="00CF677B"/>
    <w:rsid w:val="00D06A5A"/>
    <w:rsid w:val="00D105F0"/>
    <w:rsid w:val="00D1157C"/>
    <w:rsid w:val="00D1520F"/>
    <w:rsid w:val="00D20724"/>
    <w:rsid w:val="00D2222C"/>
    <w:rsid w:val="00D222BB"/>
    <w:rsid w:val="00D24274"/>
    <w:rsid w:val="00D24A1A"/>
    <w:rsid w:val="00D256DB"/>
    <w:rsid w:val="00D267B6"/>
    <w:rsid w:val="00D267F4"/>
    <w:rsid w:val="00D30979"/>
    <w:rsid w:val="00D32E68"/>
    <w:rsid w:val="00D424DC"/>
    <w:rsid w:val="00D42DEF"/>
    <w:rsid w:val="00D43974"/>
    <w:rsid w:val="00D441B2"/>
    <w:rsid w:val="00D448F1"/>
    <w:rsid w:val="00D4642A"/>
    <w:rsid w:val="00D46D81"/>
    <w:rsid w:val="00D47A40"/>
    <w:rsid w:val="00D5010B"/>
    <w:rsid w:val="00D509FD"/>
    <w:rsid w:val="00D516F4"/>
    <w:rsid w:val="00D52E0D"/>
    <w:rsid w:val="00D52EDC"/>
    <w:rsid w:val="00D54978"/>
    <w:rsid w:val="00D54A58"/>
    <w:rsid w:val="00D55205"/>
    <w:rsid w:val="00D5689B"/>
    <w:rsid w:val="00D57232"/>
    <w:rsid w:val="00D57FD3"/>
    <w:rsid w:val="00D6015F"/>
    <w:rsid w:val="00D63627"/>
    <w:rsid w:val="00D70E24"/>
    <w:rsid w:val="00D71EE4"/>
    <w:rsid w:val="00D724AD"/>
    <w:rsid w:val="00D730B3"/>
    <w:rsid w:val="00D74980"/>
    <w:rsid w:val="00D80DC3"/>
    <w:rsid w:val="00D81FE6"/>
    <w:rsid w:val="00D827C1"/>
    <w:rsid w:val="00D82D34"/>
    <w:rsid w:val="00D877EF"/>
    <w:rsid w:val="00D87C01"/>
    <w:rsid w:val="00D90673"/>
    <w:rsid w:val="00D93730"/>
    <w:rsid w:val="00D96218"/>
    <w:rsid w:val="00DA0DA0"/>
    <w:rsid w:val="00DA34DE"/>
    <w:rsid w:val="00DA46F4"/>
    <w:rsid w:val="00DA52AB"/>
    <w:rsid w:val="00DA7E9B"/>
    <w:rsid w:val="00DB01C1"/>
    <w:rsid w:val="00DB327F"/>
    <w:rsid w:val="00DB4880"/>
    <w:rsid w:val="00DB51A6"/>
    <w:rsid w:val="00DB56DE"/>
    <w:rsid w:val="00DB5B06"/>
    <w:rsid w:val="00DB7D44"/>
    <w:rsid w:val="00DC28C6"/>
    <w:rsid w:val="00DC2E50"/>
    <w:rsid w:val="00DC3E6D"/>
    <w:rsid w:val="00DC3E6F"/>
    <w:rsid w:val="00DC64D1"/>
    <w:rsid w:val="00DC707F"/>
    <w:rsid w:val="00DC7282"/>
    <w:rsid w:val="00DC7311"/>
    <w:rsid w:val="00DD290E"/>
    <w:rsid w:val="00DE46BF"/>
    <w:rsid w:val="00DE4788"/>
    <w:rsid w:val="00DE62BF"/>
    <w:rsid w:val="00DE7775"/>
    <w:rsid w:val="00DF664E"/>
    <w:rsid w:val="00DF665D"/>
    <w:rsid w:val="00DF67A4"/>
    <w:rsid w:val="00DF6A65"/>
    <w:rsid w:val="00E016C7"/>
    <w:rsid w:val="00E016C8"/>
    <w:rsid w:val="00E02EFA"/>
    <w:rsid w:val="00E03252"/>
    <w:rsid w:val="00E03760"/>
    <w:rsid w:val="00E04803"/>
    <w:rsid w:val="00E058D9"/>
    <w:rsid w:val="00E0591A"/>
    <w:rsid w:val="00E12886"/>
    <w:rsid w:val="00E12FB7"/>
    <w:rsid w:val="00E13B9D"/>
    <w:rsid w:val="00E1620F"/>
    <w:rsid w:val="00E17F6B"/>
    <w:rsid w:val="00E17FF6"/>
    <w:rsid w:val="00E2053D"/>
    <w:rsid w:val="00E20D2A"/>
    <w:rsid w:val="00E22870"/>
    <w:rsid w:val="00E2363D"/>
    <w:rsid w:val="00E26164"/>
    <w:rsid w:val="00E26566"/>
    <w:rsid w:val="00E35115"/>
    <w:rsid w:val="00E3789C"/>
    <w:rsid w:val="00E43EE4"/>
    <w:rsid w:val="00E466B9"/>
    <w:rsid w:val="00E469FB"/>
    <w:rsid w:val="00E47A47"/>
    <w:rsid w:val="00E5078D"/>
    <w:rsid w:val="00E5188F"/>
    <w:rsid w:val="00E5363A"/>
    <w:rsid w:val="00E54E12"/>
    <w:rsid w:val="00E60382"/>
    <w:rsid w:val="00E61A65"/>
    <w:rsid w:val="00E61E25"/>
    <w:rsid w:val="00E64F71"/>
    <w:rsid w:val="00E67834"/>
    <w:rsid w:val="00E71A94"/>
    <w:rsid w:val="00E71F59"/>
    <w:rsid w:val="00E74A3A"/>
    <w:rsid w:val="00E7596F"/>
    <w:rsid w:val="00E77323"/>
    <w:rsid w:val="00E83DE8"/>
    <w:rsid w:val="00E854C9"/>
    <w:rsid w:val="00E876E4"/>
    <w:rsid w:val="00E9130A"/>
    <w:rsid w:val="00E920FF"/>
    <w:rsid w:val="00E943C2"/>
    <w:rsid w:val="00EA18A9"/>
    <w:rsid w:val="00EA5038"/>
    <w:rsid w:val="00EA5369"/>
    <w:rsid w:val="00EA7B4E"/>
    <w:rsid w:val="00EA7CE0"/>
    <w:rsid w:val="00EB756F"/>
    <w:rsid w:val="00EC3980"/>
    <w:rsid w:val="00EC4B8C"/>
    <w:rsid w:val="00ED3333"/>
    <w:rsid w:val="00ED7785"/>
    <w:rsid w:val="00EF25C9"/>
    <w:rsid w:val="00EF3CEC"/>
    <w:rsid w:val="00EF7EC7"/>
    <w:rsid w:val="00F009EB"/>
    <w:rsid w:val="00F0275A"/>
    <w:rsid w:val="00F10481"/>
    <w:rsid w:val="00F1070D"/>
    <w:rsid w:val="00F123BB"/>
    <w:rsid w:val="00F132FA"/>
    <w:rsid w:val="00F13D63"/>
    <w:rsid w:val="00F145B4"/>
    <w:rsid w:val="00F16525"/>
    <w:rsid w:val="00F1781B"/>
    <w:rsid w:val="00F225CC"/>
    <w:rsid w:val="00F230B0"/>
    <w:rsid w:val="00F23BB4"/>
    <w:rsid w:val="00F246FA"/>
    <w:rsid w:val="00F25497"/>
    <w:rsid w:val="00F26102"/>
    <w:rsid w:val="00F26302"/>
    <w:rsid w:val="00F27930"/>
    <w:rsid w:val="00F35E3F"/>
    <w:rsid w:val="00F370CA"/>
    <w:rsid w:val="00F42936"/>
    <w:rsid w:val="00F43517"/>
    <w:rsid w:val="00F45E34"/>
    <w:rsid w:val="00F50259"/>
    <w:rsid w:val="00F514C1"/>
    <w:rsid w:val="00F541CB"/>
    <w:rsid w:val="00F554AF"/>
    <w:rsid w:val="00F56652"/>
    <w:rsid w:val="00F56F10"/>
    <w:rsid w:val="00F6054B"/>
    <w:rsid w:val="00F61C7A"/>
    <w:rsid w:val="00F62457"/>
    <w:rsid w:val="00F63DB2"/>
    <w:rsid w:val="00F6754C"/>
    <w:rsid w:val="00F71BCD"/>
    <w:rsid w:val="00F734D5"/>
    <w:rsid w:val="00F73D7A"/>
    <w:rsid w:val="00F76C40"/>
    <w:rsid w:val="00F81B7B"/>
    <w:rsid w:val="00F82801"/>
    <w:rsid w:val="00F82F17"/>
    <w:rsid w:val="00F831A6"/>
    <w:rsid w:val="00F8325B"/>
    <w:rsid w:val="00F83812"/>
    <w:rsid w:val="00F85F21"/>
    <w:rsid w:val="00F8771E"/>
    <w:rsid w:val="00F91377"/>
    <w:rsid w:val="00F91460"/>
    <w:rsid w:val="00F92321"/>
    <w:rsid w:val="00F92E2E"/>
    <w:rsid w:val="00F95379"/>
    <w:rsid w:val="00FA089E"/>
    <w:rsid w:val="00FA1CBE"/>
    <w:rsid w:val="00FA26FB"/>
    <w:rsid w:val="00FA3620"/>
    <w:rsid w:val="00FB0A2C"/>
    <w:rsid w:val="00FB0F41"/>
    <w:rsid w:val="00FB42C1"/>
    <w:rsid w:val="00FC0EFE"/>
    <w:rsid w:val="00FC1936"/>
    <w:rsid w:val="00FC39FD"/>
    <w:rsid w:val="00FC410F"/>
    <w:rsid w:val="00FD084B"/>
    <w:rsid w:val="00FD497D"/>
    <w:rsid w:val="00FD7419"/>
    <w:rsid w:val="00FE1A47"/>
    <w:rsid w:val="00FE3829"/>
    <w:rsid w:val="00FE59BA"/>
    <w:rsid w:val="00FE6655"/>
    <w:rsid w:val="00FE7C69"/>
    <w:rsid w:val="00FF0C36"/>
    <w:rsid w:val="00FF13F5"/>
    <w:rsid w:val="00FF162D"/>
    <w:rsid w:val="00FF2D89"/>
    <w:rsid w:val="00FF344C"/>
    <w:rsid w:val="00FF6077"/>
    <w:rsid w:val="00FF62A8"/>
    <w:rsid w:val="00FF6B9B"/>
    <w:rsid w:val="00FF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2747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5">
    <w:name w:val="heading 5"/>
    <w:basedOn w:val="Normal"/>
    <w:next w:val="Normal"/>
    <w:link w:val="Heading5Char"/>
    <w:uiPriority w:val="9"/>
    <w:semiHidden/>
    <w:unhideWhenUsed/>
    <w:qFormat/>
    <w:rsid w:val="00B249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1"/>
    <w:unhideWhenUsed/>
    <w:rsid w:val="00597302"/>
    <w:rPr>
      <w:sz w:val="20"/>
      <w:szCs w:val="20"/>
    </w:rPr>
  </w:style>
  <w:style w:type="character" w:customStyle="1" w:styleId="FootnoteTextChar1">
    <w:name w:val="Footnote Text Char1"/>
    <w:basedOn w:val="DefaultParagraphFont"/>
    <w:link w:val="FootnoteText"/>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paragraph" w:customStyle="1" w:styleId="sti-art">
    <w:name w:val="sti-art"/>
    <w:basedOn w:val="Normal"/>
    <w:rsid w:val="00DC707F"/>
    <w:pPr>
      <w:spacing w:before="100" w:beforeAutospacing="1" w:after="100" w:afterAutospacing="1"/>
    </w:pPr>
    <w:rPr>
      <w:sz w:val="24"/>
      <w:lang w:eastAsia="lv-LV"/>
    </w:rPr>
  </w:style>
  <w:style w:type="paragraph" w:customStyle="1" w:styleId="Normal1">
    <w:name w:val="Normal1"/>
    <w:basedOn w:val="Normal"/>
    <w:rsid w:val="00DC707F"/>
    <w:pPr>
      <w:spacing w:before="100" w:beforeAutospacing="1" w:after="100" w:afterAutospacing="1"/>
    </w:pPr>
    <w:rPr>
      <w:sz w:val="24"/>
      <w:lang w:eastAsia="lv-LV"/>
    </w:rPr>
  </w:style>
  <w:style w:type="character" w:styleId="Hyperlink">
    <w:name w:val="Hyperlink"/>
    <w:basedOn w:val="DefaultParagraphFont"/>
    <w:uiPriority w:val="99"/>
    <w:semiHidden/>
    <w:unhideWhenUsed/>
    <w:rsid w:val="00A26F25"/>
    <w:rPr>
      <w:color w:val="0000FF"/>
      <w:u w:val="single"/>
    </w:rPr>
  </w:style>
  <w:style w:type="character" w:customStyle="1" w:styleId="Heading1Char">
    <w:name w:val="Heading 1 Char"/>
    <w:basedOn w:val="DefaultParagraphFont"/>
    <w:link w:val="Heading1"/>
    <w:uiPriority w:val="9"/>
    <w:rsid w:val="002747DC"/>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912F0B"/>
    <w:rPr>
      <w:i/>
      <w:iCs/>
    </w:rPr>
  </w:style>
  <w:style w:type="character" w:customStyle="1" w:styleId="Heading5Char">
    <w:name w:val="Heading 5 Char"/>
    <w:basedOn w:val="DefaultParagraphFont"/>
    <w:link w:val="Heading5"/>
    <w:uiPriority w:val="9"/>
    <w:semiHidden/>
    <w:rsid w:val="00B24930"/>
    <w:rPr>
      <w:rFonts w:asciiTheme="majorHAnsi" w:eastAsiaTheme="majorEastAsia" w:hAnsiTheme="majorHAnsi" w:cstheme="majorBidi"/>
      <w:color w:val="365F91" w:themeColor="accent1" w:themeShade="BF"/>
      <w:szCs w:val="24"/>
    </w:rPr>
  </w:style>
  <w:style w:type="character" w:styleId="Strong">
    <w:name w:val="Strong"/>
    <w:basedOn w:val="DefaultParagraphFont"/>
    <w:uiPriority w:val="22"/>
    <w:qFormat/>
    <w:rsid w:val="005C038D"/>
    <w:rPr>
      <w:b/>
      <w:bCs/>
    </w:rPr>
  </w:style>
  <w:style w:type="character" w:customStyle="1" w:styleId="FootnoteTextChar">
    <w:name w:val="Footnote Text Char"/>
    <w:basedOn w:val="DefaultParagraphFont"/>
    <w:rsid w:val="00F1070D"/>
    <w:rPr>
      <w:rFonts w:ascii="Times New Roman" w:eastAsia="Times New Roman" w:hAnsi="Times New Roman" w:cs="Times New Roman"/>
      <w:sz w:val="20"/>
      <w:szCs w:val="20"/>
    </w:rPr>
  </w:style>
  <w:style w:type="table" w:styleId="TableGrid">
    <w:name w:val="Table Grid"/>
    <w:basedOn w:val="TableNormal"/>
    <w:uiPriority w:val="59"/>
    <w:rsid w:val="00F1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185">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3640597">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362823239">
      <w:bodyDiv w:val="1"/>
      <w:marLeft w:val="0"/>
      <w:marRight w:val="0"/>
      <w:marTop w:val="0"/>
      <w:marBottom w:val="0"/>
      <w:divBdr>
        <w:top w:val="none" w:sz="0" w:space="0" w:color="auto"/>
        <w:left w:val="none" w:sz="0" w:space="0" w:color="auto"/>
        <w:bottom w:val="none" w:sz="0" w:space="0" w:color="auto"/>
        <w:right w:val="none" w:sz="0" w:space="0" w:color="auto"/>
      </w:divBdr>
    </w:div>
    <w:div w:id="422147897">
      <w:bodyDiv w:val="1"/>
      <w:marLeft w:val="0"/>
      <w:marRight w:val="0"/>
      <w:marTop w:val="0"/>
      <w:marBottom w:val="0"/>
      <w:divBdr>
        <w:top w:val="none" w:sz="0" w:space="0" w:color="auto"/>
        <w:left w:val="none" w:sz="0" w:space="0" w:color="auto"/>
        <w:bottom w:val="none" w:sz="0" w:space="0" w:color="auto"/>
        <w:right w:val="none" w:sz="0" w:space="0" w:color="auto"/>
      </w:divBdr>
    </w:div>
    <w:div w:id="473450262">
      <w:bodyDiv w:val="1"/>
      <w:marLeft w:val="0"/>
      <w:marRight w:val="0"/>
      <w:marTop w:val="0"/>
      <w:marBottom w:val="0"/>
      <w:divBdr>
        <w:top w:val="none" w:sz="0" w:space="0" w:color="auto"/>
        <w:left w:val="none" w:sz="0" w:space="0" w:color="auto"/>
        <w:bottom w:val="none" w:sz="0" w:space="0" w:color="auto"/>
        <w:right w:val="none" w:sz="0" w:space="0" w:color="auto"/>
      </w:divBdr>
    </w:div>
    <w:div w:id="581915509">
      <w:bodyDiv w:val="1"/>
      <w:marLeft w:val="0"/>
      <w:marRight w:val="0"/>
      <w:marTop w:val="0"/>
      <w:marBottom w:val="0"/>
      <w:divBdr>
        <w:top w:val="none" w:sz="0" w:space="0" w:color="auto"/>
        <w:left w:val="none" w:sz="0" w:space="0" w:color="auto"/>
        <w:bottom w:val="none" w:sz="0" w:space="0" w:color="auto"/>
        <w:right w:val="none" w:sz="0" w:space="0" w:color="auto"/>
      </w:divBdr>
    </w:div>
    <w:div w:id="741409581">
      <w:bodyDiv w:val="1"/>
      <w:marLeft w:val="0"/>
      <w:marRight w:val="0"/>
      <w:marTop w:val="0"/>
      <w:marBottom w:val="0"/>
      <w:divBdr>
        <w:top w:val="none" w:sz="0" w:space="0" w:color="auto"/>
        <w:left w:val="none" w:sz="0" w:space="0" w:color="auto"/>
        <w:bottom w:val="none" w:sz="0" w:space="0" w:color="auto"/>
        <w:right w:val="none" w:sz="0" w:space="0" w:color="auto"/>
      </w:divBdr>
    </w:div>
    <w:div w:id="781803286">
      <w:bodyDiv w:val="1"/>
      <w:marLeft w:val="0"/>
      <w:marRight w:val="0"/>
      <w:marTop w:val="0"/>
      <w:marBottom w:val="0"/>
      <w:divBdr>
        <w:top w:val="none" w:sz="0" w:space="0" w:color="auto"/>
        <w:left w:val="none" w:sz="0" w:space="0" w:color="auto"/>
        <w:bottom w:val="none" w:sz="0" w:space="0" w:color="auto"/>
        <w:right w:val="none" w:sz="0" w:space="0" w:color="auto"/>
      </w:divBdr>
    </w:div>
    <w:div w:id="861864951">
      <w:bodyDiv w:val="1"/>
      <w:marLeft w:val="0"/>
      <w:marRight w:val="0"/>
      <w:marTop w:val="0"/>
      <w:marBottom w:val="0"/>
      <w:divBdr>
        <w:top w:val="none" w:sz="0" w:space="0" w:color="auto"/>
        <w:left w:val="none" w:sz="0" w:space="0" w:color="auto"/>
        <w:bottom w:val="none" w:sz="0" w:space="0" w:color="auto"/>
        <w:right w:val="none" w:sz="0" w:space="0" w:color="auto"/>
      </w:divBdr>
    </w:div>
    <w:div w:id="940723001">
      <w:bodyDiv w:val="1"/>
      <w:marLeft w:val="0"/>
      <w:marRight w:val="0"/>
      <w:marTop w:val="0"/>
      <w:marBottom w:val="0"/>
      <w:divBdr>
        <w:top w:val="none" w:sz="0" w:space="0" w:color="auto"/>
        <w:left w:val="none" w:sz="0" w:space="0" w:color="auto"/>
        <w:bottom w:val="none" w:sz="0" w:space="0" w:color="auto"/>
        <w:right w:val="none" w:sz="0" w:space="0" w:color="auto"/>
      </w:divBdr>
    </w:div>
    <w:div w:id="105473801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05868863">
      <w:bodyDiv w:val="1"/>
      <w:marLeft w:val="0"/>
      <w:marRight w:val="0"/>
      <w:marTop w:val="0"/>
      <w:marBottom w:val="0"/>
      <w:divBdr>
        <w:top w:val="none" w:sz="0" w:space="0" w:color="auto"/>
        <w:left w:val="none" w:sz="0" w:space="0" w:color="auto"/>
        <w:bottom w:val="none" w:sz="0" w:space="0" w:color="auto"/>
        <w:right w:val="none" w:sz="0" w:space="0" w:color="auto"/>
      </w:divBdr>
    </w:div>
    <w:div w:id="1213497165">
      <w:bodyDiv w:val="1"/>
      <w:marLeft w:val="0"/>
      <w:marRight w:val="0"/>
      <w:marTop w:val="0"/>
      <w:marBottom w:val="0"/>
      <w:divBdr>
        <w:top w:val="none" w:sz="0" w:space="0" w:color="auto"/>
        <w:left w:val="none" w:sz="0" w:space="0" w:color="auto"/>
        <w:bottom w:val="none" w:sz="0" w:space="0" w:color="auto"/>
        <w:right w:val="none" w:sz="0" w:space="0" w:color="auto"/>
      </w:divBdr>
    </w:div>
    <w:div w:id="1498687991">
      <w:bodyDiv w:val="1"/>
      <w:marLeft w:val="0"/>
      <w:marRight w:val="0"/>
      <w:marTop w:val="0"/>
      <w:marBottom w:val="0"/>
      <w:divBdr>
        <w:top w:val="none" w:sz="0" w:space="0" w:color="auto"/>
        <w:left w:val="none" w:sz="0" w:space="0" w:color="auto"/>
        <w:bottom w:val="none" w:sz="0" w:space="0" w:color="auto"/>
        <w:right w:val="none" w:sz="0" w:space="0" w:color="auto"/>
      </w:divBdr>
    </w:div>
    <w:div w:id="1600989142">
      <w:bodyDiv w:val="1"/>
      <w:marLeft w:val="0"/>
      <w:marRight w:val="0"/>
      <w:marTop w:val="0"/>
      <w:marBottom w:val="0"/>
      <w:divBdr>
        <w:top w:val="none" w:sz="0" w:space="0" w:color="auto"/>
        <w:left w:val="none" w:sz="0" w:space="0" w:color="auto"/>
        <w:bottom w:val="none" w:sz="0" w:space="0" w:color="auto"/>
        <w:right w:val="none" w:sz="0" w:space="0" w:color="auto"/>
      </w:divBdr>
      <w:divsChild>
        <w:div w:id="641349725">
          <w:marLeft w:val="0"/>
          <w:marRight w:val="0"/>
          <w:marTop w:val="0"/>
          <w:marBottom w:val="0"/>
          <w:divBdr>
            <w:top w:val="none" w:sz="0" w:space="0" w:color="auto"/>
            <w:left w:val="none" w:sz="0" w:space="0" w:color="auto"/>
            <w:bottom w:val="none" w:sz="0" w:space="0" w:color="auto"/>
            <w:right w:val="none" w:sz="0" w:space="0" w:color="auto"/>
          </w:divBdr>
          <w:divsChild>
            <w:div w:id="692339307">
              <w:marLeft w:val="0"/>
              <w:marRight w:val="0"/>
              <w:marTop w:val="0"/>
              <w:marBottom w:val="0"/>
              <w:divBdr>
                <w:top w:val="none" w:sz="0" w:space="0" w:color="auto"/>
                <w:left w:val="none" w:sz="0" w:space="0" w:color="auto"/>
                <w:bottom w:val="none" w:sz="0" w:space="0" w:color="auto"/>
                <w:right w:val="none" w:sz="0" w:space="0" w:color="auto"/>
              </w:divBdr>
              <w:divsChild>
                <w:div w:id="795217198">
                  <w:marLeft w:val="0"/>
                  <w:marRight w:val="0"/>
                  <w:marTop w:val="0"/>
                  <w:marBottom w:val="0"/>
                  <w:divBdr>
                    <w:top w:val="none" w:sz="0" w:space="0" w:color="auto"/>
                    <w:left w:val="none" w:sz="0" w:space="0" w:color="auto"/>
                    <w:bottom w:val="none" w:sz="0" w:space="0" w:color="auto"/>
                    <w:right w:val="none" w:sz="0" w:space="0" w:color="auto"/>
                  </w:divBdr>
                  <w:divsChild>
                    <w:div w:id="760905628">
                      <w:marLeft w:val="0"/>
                      <w:marRight w:val="0"/>
                      <w:marTop w:val="0"/>
                      <w:marBottom w:val="0"/>
                      <w:divBdr>
                        <w:top w:val="none" w:sz="0" w:space="0" w:color="auto"/>
                        <w:left w:val="none" w:sz="0" w:space="0" w:color="auto"/>
                        <w:bottom w:val="none" w:sz="0" w:space="0" w:color="auto"/>
                        <w:right w:val="none" w:sz="0" w:space="0" w:color="auto"/>
                      </w:divBdr>
                      <w:divsChild>
                        <w:div w:id="1927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351">
          <w:marLeft w:val="0"/>
          <w:marRight w:val="0"/>
          <w:marTop w:val="0"/>
          <w:marBottom w:val="0"/>
          <w:divBdr>
            <w:top w:val="none" w:sz="0" w:space="0" w:color="auto"/>
            <w:left w:val="none" w:sz="0" w:space="0" w:color="auto"/>
            <w:bottom w:val="none" w:sz="0" w:space="0" w:color="auto"/>
            <w:right w:val="none" w:sz="0" w:space="0" w:color="auto"/>
          </w:divBdr>
          <w:divsChild>
            <w:div w:id="198400575">
              <w:marLeft w:val="0"/>
              <w:marRight w:val="0"/>
              <w:marTop w:val="0"/>
              <w:marBottom w:val="0"/>
              <w:divBdr>
                <w:top w:val="none" w:sz="0" w:space="0" w:color="auto"/>
                <w:left w:val="none" w:sz="0" w:space="0" w:color="auto"/>
                <w:bottom w:val="none" w:sz="0" w:space="0" w:color="auto"/>
                <w:right w:val="none" w:sz="0" w:space="0" w:color="auto"/>
              </w:divBdr>
              <w:divsChild>
                <w:div w:id="482284249">
                  <w:marLeft w:val="0"/>
                  <w:marRight w:val="0"/>
                  <w:marTop w:val="0"/>
                  <w:marBottom w:val="0"/>
                  <w:divBdr>
                    <w:top w:val="none" w:sz="0" w:space="0" w:color="auto"/>
                    <w:left w:val="none" w:sz="0" w:space="0" w:color="auto"/>
                    <w:bottom w:val="none" w:sz="0" w:space="0" w:color="auto"/>
                    <w:right w:val="none" w:sz="0" w:space="0" w:color="auto"/>
                  </w:divBdr>
                  <w:divsChild>
                    <w:div w:id="298150877">
                      <w:marLeft w:val="0"/>
                      <w:marRight w:val="0"/>
                      <w:marTop w:val="0"/>
                      <w:marBottom w:val="0"/>
                      <w:divBdr>
                        <w:top w:val="none" w:sz="0" w:space="0" w:color="auto"/>
                        <w:left w:val="none" w:sz="0" w:space="0" w:color="auto"/>
                        <w:bottom w:val="none" w:sz="0" w:space="0" w:color="auto"/>
                        <w:right w:val="none" w:sz="0" w:space="0" w:color="auto"/>
                      </w:divBdr>
                      <w:divsChild>
                        <w:div w:id="2036998730">
                          <w:marLeft w:val="0"/>
                          <w:marRight w:val="0"/>
                          <w:marTop w:val="0"/>
                          <w:marBottom w:val="0"/>
                          <w:divBdr>
                            <w:top w:val="none" w:sz="0" w:space="0" w:color="auto"/>
                            <w:left w:val="none" w:sz="0" w:space="0" w:color="auto"/>
                            <w:bottom w:val="none" w:sz="0" w:space="0" w:color="auto"/>
                            <w:right w:val="none" w:sz="0" w:space="0" w:color="auto"/>
                          </w:divBdr>
                          <w:divsChild>
                            <w:div w:id="812795078">
                              <w:marLeft w:val="0"/>
                              <w:marRight w:val="300"/>
                              <w:marTop w:val="180"/>
                              <w:marBottom w:val="0"/>
                              <w:divBdr>
                                <w:top w:val="none" w:sz="0" w:space="0" w:color="auto"/>
                                <w:left w:val="none" w:sz="0" w:space="0" w:color="auto"/>
                                <w:bottom w:val="none" w:sz="0" w:space="0" w:color="auto"/>
                                <w:right w:val="none" w:sz="0" w:space="0" w:color="auto"/>
                              </w:divBdr>
                              <w:divsChild>
                                <w:div w:id="589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30096">
      <w:bodyDiv w:val="1"/>
      <w:marLeft w:val="0"/>
      <w:marRight w:val="0"/>
      <w:marTop w:val="0"/>
      <w:marBottom w:val="0"/>
      <w:divBdr>
        <w:top w:val="none" w:sz="0" w:space="0" w:color="auto"/>
        <w:left w:val="none" w:sz="0" w:space="0" w:color="auto"/>
        <w:bottom w:val="none" w:sz="0" w:space="0" w:color="auto"/>
        <w:right w:val="none" w:sz="0" w:space="0" w:color="auto"/>
      </w:divBdr>
    </w:div>
    <w:div w:id="1706370185">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91783200">
      <w:bodyDiv w:val="1"/>
      <w:marLeft w:val="0"/>
      <w:marRight w:val="0"/>
      <w:marTop w:val="0"/>
      <w:marBottom w:val="0"/>
      <w:divBdr>
        <w:top w:val="none" w:sz="0" w:space="0" w:color="auto"/>
        <w:left w:val="none" w:sz="0" w:space="0" w:color="auto"/>
        <w:bottom w:val="none" w:sz="0" w:space="0" w:color="auto"/>
        <w:right w:val="none" w:sz="0" w:space="0" w:color="auto"/>
      </w:divBdr>
    </w:div>
    <w:div w:id="1828203646">
      <w:bodyDiv w:val="1"/>
      <w:marLeft w:val="0"/>
      <w:marRight w:val="0"/>
      <w:marTop w:val="0"/>
      <w:marBottom w:val="0"/>
      <w:divBdr>
        <w:top w:val="none" w:sz="0" w:space="0" w:color="auto"/>
        <w:left w:val="none" w:sz="0" w:space="0" w:color="auto"/>
        <w:bottom w:val="none" w:sz="0" w:space="0" w:color="auto"/>
        <w:right w:val="none" w:sz="0" w:space="0" w:color="auto"/>
      </w:divBdr>
    </w:div>
    <w:div w:id="1941644437">
      <w:bodyDiv w:val="1"/>
      <w:marLeft w:val="0"/>
      <w:marRight w:val="0"/>
      <w:marTop w:val="0"/>
      <w:marBottom w:val="0"/>
      <w:divBdr>
        <w:top w:val="none" w:sz="0" w:space="0" w:color="auto"/>
        <w:left w:val="none" w:sz="0" w:space="0" w:color="auto"/>
        <w:bottom w:val="none" w:sz="0" w:space="0" w:color="auto"/>
        <w:right w:val="none" w:sz="0" w:space="0" w:color="auto"/>
      </w:divBdr>
    </w:div>
    <w:div w:id="20071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D165-AF89-44C9-9AFE-736D759F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2023-10-26T12:50:00Z</dcterms:created>
  <dcterms:modified xsi:type="dcterms:W3CDTF">2023-10-26T12:50:00Z</dcterms:modified>
  <cp:category/>
  <cp:contentStatus/>
</cp:coreProperties>
</file>