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75DE" w14:textId="3DC4F850" w:rsidR="00147AD2" w:rsidRDefault="00822974" w:rsidP="005742C0">
      <w:pPr>
        <w:jc w:val="right"/>
        <w:rPr>
          <w:lang w:val="lv-LV"/>
        </w:rPr>
      </w:pPr>
      <w:r>
        <w:rPr>
          <w:lang w:val="lv-LV"/>
        </w:rPr>
        <w:t>1.pielikums</w:t>
      </w:r>
    </w:p>
    <w:p w14:paraId="19A24910" w14:textId="77777777" w:rsidR="00822974" w:rsidRPr="00F34C91" w:rsidRDefault="00822974" w:rsidP="00822974">
      <w:pPr>
        <w:pStyle w:val="Title"/>
        <w:spacing w:line="300" w:lineRule="auto"/>
        <w:outlineLvl w:val="0"/>
        <w:rPr>
          <w:szCs w:val="24"/>
        </w:rPr>
      </w:pPr>
      <w:r w:rsidRPr="00F34C91">
        <w:rPr>
          <w:szCs w:val="24"/>
        </w:rPr>
        <w:t>TEHNISKĀ SPECIFIKĀCIJA</w:t>
      </w:r>
    </w:p>
    <w:p w14:paraId="01D9B838" w14:textId="77777777" w:rsidR="00822974" w:rsidRPr="00F34C91" w:rsidRDefault="00822974" w:rsidP="00404FC1">
      <w:pPr>
        <w:pStyle w:val="Default"/>
        <w:jc w:val="center"/>
        <w:rPr>
          <w:b/>
          <w:bCs/>
        </w:rPr>
      </w:pPr>
      <w:r w:rsidRPr="00F34C91">
        <w:rPr>
          <w:i/>
          <w:iCs/>
        </w:rPr>
        <w:t>Integrētās vadības sistēmas (ISO 9001, ISO 45001 un ISO 50001)</w:t>
      </w:r>
      <w:r w:rsidRPr="00F34C91">
        <w:rPr>
          <w:i/>
          <w:iCs/>
        </w:rPr>
        <w:br/>
      </w:r>
      <w:bookmarkStart w:id="0" w:name="_Hlk71881006"/>
      <w:proofErr w:type="spellStart"/>
      <w:r w:rsidRPr="00F34C91">
        <w:rPr>
          <w:i/>
          <w:iCs/>
        </w:rPr>
        <w:t>pārsertifikācijas</w:t>
      </w:r>
      <w:proofErr w:type="spellEnd"/>
      <w:r w:rsidRPr="00F34C91">
        <w:rPr>
          <w:i/>
          <w:iCs/>
        </w:rPr>
        <w:t xml:space="preserve"> un periodiskās uzraudzības </w:t>
      </w:r>
      <w:bookmarkEnd w:id="0"/>
      <w:r w:rsidRPr="00F34C91">
        <w:rPr>
          <w:i/>
          <w:iCs/>
        </w:rPr>
        <w:t>pakalpojumi</w:t>
      </w:r>
    </w:p>
    <w:p w14:paraId="187CE1D0" w14:textId="77777777" w:rsidR="00822974" w:rsidRPr="00F34C91" w:rsidRDefault="00822974" w:rsidP="00822974">
      <w:pPr>
        <w:pStyle w:val="Title"/>
        <w:spacing w:line="300" w:lineRule="auto"/>
        <w:jc w:val="both"/>
        <w:outlineLvl w:val="0"/>
        <w:rPr>
          <w:szCs w:val="24"/>
        </w:rPr>
      </w:pPr>
    </w:p>
    <w:p w14:paraId="09EF9527" w14:textId="77777777" w:rsidR="00822974" w:rsidRPr="00F34C91" w:rsidRDefault="00822974" w:rsidP="00822974">
      <w:pPr>
        <w:pStyle w:val="Default"/>
        <w:numPr>
          <w:ilvl w:val="0"/>
          <w:numId w:val="1"/>
        </w:numPr>
        <w:spacing w:line="300" w:lineRule="auto"/>
        <w:ind w:left="426" w:hanging="426"/>
        <w:jc w:val="both"/>
      </w:pPr>
      <w:r w:rsidRPr="00F34C91">
        <w:rPr>
          <w:b/>
          <w:bCs/>
        </w:rPr>
        <w:t>PAKALPOJUMA VISPARĪGAIS APRAKSTS.</w:t>
      </w:r>
    </w:p>
    <w:p w14:paraId="4739A035" w14:textId="77777777" w:rsidR="00822974" w:rsidRPr="00F34C91" w:rsidRDefault="00822974" w:rsidP="00822974">
      <w:pPr>
        <w:pStyle w:val="Default"/>
        <w:numPr>
          <w:ilvl w:val="1"/>
          <w:numId w:val="1"/>
        </w:numPr>
        <w:spacing w:line="300" w:lineRule="auto"/>
        <w:ind w:left="426" w:hanging="426"/>
        <w:jc w:val="both"/>
      </w:pPr>
      <w:r w:rsidRPr="00F34C91">
        <w:t xml:space="preserve">Lai nodrošinātu nepārtrauktu RP SIA “Rīgas satiksme” ieviestās integrētās vadības sistēmas sertifikācijas spēkā esamību, Izpildītājs veic RP SIA „Rīgas satiksme” kvalitātes pārvaldības sistēmas atbilstības novērtēšanu ISO 9001, arodveselības un darba drošības pārvaldības sistēmas atbilstības novērtēšanu ISO 45001 un </w:t>
      </w:r>
      <w:proofErr w:type="spellStart"/>
      <w:r w:rsidRPr="00F34C91">
        <w:t>energopārvaldības</w:t>
      </w:r>
      <w:proofErr w:type="spellEnd"/>
      <w:r w:rsidRPr="00F34C91">
        <w:t xml:space="preserve"> sistēmas atbilstības novērtēšanu ISO 50001 standartu prasībām (spēkā esošām aktuālajām standartu versijām), nodrošinot integrētās vadības sistēmas akreditētu </w:t>
      </w:r>
      <w:proofErr w:type="spellStart"/>
      <w:r w:rsidRPr="00F34C91">
        <w:t>pārsertifikāciju</w:t>
      </w:r>
      <w:proofErr w:type="spellEnd"/>
      <w:r w:rsidRPr="00F34C91">
        <w:t xml:space="preserve"> vai uzraudzību.</w:t>
      </w:r>
    </w:p>
    <w:p w14:paraId="08C3DD16" w14:textId="77777777" w:rsidR="00822974" w:rsidRDefault="00822974" w:rsidP="00822974">
      <w:pPr>
        <w:pStyle w:val="Default"/>
        <w:numPr>
          <w:ilvl w:val="1"/>
          <w:numId w:val="1"/>
        </w:numPr>
        <w:spacing w:line="300" w:lineRule="auto"/>
        <w:ind w:left="426" w:hanging="426"/>
        <w:jc w:val="both"/>
      </w:pPr>
      <w:r w:rsidRPr="00F34C91">
        <w:t xml:space="preserve">Līguma darbības laiks: 3 gadi. </w:t>
      </w:r>
    </w:p>
    <w:p w14:paraId="5D054193" w14:textId="77777777" w:rsidR="00822974" w:rsidRPr="00F34C91" w:rsidRDefault="00822974" w:rsidP="00822974">
      <w:pPr>
        <w:pStyle w:val="Default"/>
        <w:spacing w:line="300" w:lineRule="auto"/>
        <w:ind w:left="426"/>
        <w:jc w:val="both"/>
      </w:pPr>
    </w:p>
    <w:p w14:paraId="2DB1812A" w14:textId="77777777" w:rsidR="00822974" w:rsidRPr="00F34C91" w:rsidRDefault="00822974" w:rsidP="00822974">
      <w:pPr>
        <w:pStyle w:val="Default"/>
        <w:numPr>
          <w:ilvl w:val="0"/>
          <w:numId w:val="1"/>
        </w:numPr>
        <w:spacing w:line="300" w:lineRule="auto"/>
        <w:ind w:left="426" w:hanging="426"/>
      </w:pPr>
      <w:r w:rsidRPr="00F34C91">
        <w:rPr>
          <w:b/>
          <w:bCs/>
        </w:rPr>
        <w:t xml:space="preserve">TEHNISKAIS APRAKSTS </w:t>
      </w:r>
    </w:p>
    <w:p w14:paraId="0DB4FD28" w14:textId="77777777" w:rsidR="00822974" w:rsidRPr="00F34C91" w:rsidRDefault="00822974" w:rsidP="00822974">
      <w:pPr>
        <w:pStyle w:val="Default"/>
        <w:numPr>
          <w:ilvl w:val="1"/>
          <w:numId w:val="1"/>
        </w:numPr>
        <w:tabs>
          <w:tab w:val="left" w:pos="993"/>
        </w:tabs>
        <w:spacing w:line="300" w:lineRule="auto"/>
        <w:ind w:left="426" w:hanging="426"/>
        <w:jc w:val="both"/>
      </w:pPr>
      <w:r w:rsidRPr="00F34C91">
        <w:t xml:space="preserve">Izpildītājam triju gadu periodā jāveic </w:t>
      </w:r>
      <w:proofErr w:type="spellStart"/>
      <w:r w:rsidRPr="00F34C91">
        <w:t>pārsertifikācijas</w:t>
      </w:r>
      <w:proofErr w:type="spellEnd"/>
      <w:r w:rsidRPr="00F34C91">
        <w:t xml:space="preserve"> un uzraudzības audits par </w:t>
      </w:r>
      <w:r w:rsidRPr="00F34C91">
        <w:rPr>
          <w:bCs/>
        </w:rPr>
        <w:t xml:space="preserve">RP SIA „Rīgas satiksme” </w:t>
      </w:r>
      <w:r w:rsidRPr="00F34C91">
        <w:t xml:space="preserve">kvalitātes pārvaldības sistēmas atbilstību ISO 9001, darba drošības pārvaldības sistēmas atbilstību ISO 45001 un </w:t>
      </w:r>
      <w:proofErr w:type="spellStart"/>
      <w:r w:rsidRPr="00F34C91">
        <w:t>energopārvaldības</w:t>
      </w:r>
      <w:proofErr w:type="spellEnd"/>
      <w:r w:rsidRPr="00F34C91">
        <w:t xml:space="preserve"> sistēmas atbilstību ISO 50001 standartu prasībām.</w:t>
      </w:r>
    </w:p>
    <w:p w14:paraId="73609349" w14:textId="77777777" w:rsidR="00822974" w:rsidRPr="00F34C91" w:rsidRDefault="00822974" w:rsidP="00822974">
      <w:pPr>
        <w:pStyle w:val="Default"/>
        <w:numPr>
          <w:ilvl w:val="1"/>
          <w:numId w:val="1"/>
        </w:numPr>
        <w:tabs>
          <w:tab w:val="left" w:pos="426"/>
        </w:tabs>
        <w:spacing w:line="300" w:lineRule="auto"/>
        <w:ind w:left="426" w:hanging="426"/>
        <w:jc w:val="both"/>
      </w:pPr>
      <w:r w:rsidRPr="00F34C91">
        <w:t xml:space="preserve">Izpildītājam </w:t>
      </w:r>
      <w:proofErr w:type="spellStart"/>
      <w:r w:rsidRPr="00F34C91">
        <w:t>pārsertifikācijas</w:t>
      </w:r>
      <w:proofErr w:type="spellEnd"/>
      <w:r w:rsidRPr="00F34C91">
        <w:t xml:space="preserve"> un uzraudzības auditi jāveic sertifikācijai pieteiktajā sfērā – </w:t>
      </w:r>
      <w:r w:rsidRPr="00F34C91">
        <w:rPr>
          <w:bCs/>
        </w:rPr>
        <w:t>sabiedriskā transporta, autotransporta un autostāvvietu pakalpojumi.</w:t>
      </w:r>
    </w:p>
    <w:p w14:paraId="5AFF5AB8" w14:textId="77777777" w:rsidR="00822974" w:rsidRPr="00F34C91" w:rsidRDefault="00822974" w:rsidP="00822974">
      <w:pPr>
        <w:pStyle w:val="Default"/>
        <w:numPr>
          <w:ilvl w:val="1"/>
          <w:numId w:val="1"/>
        </w:numPr>
        <w:tabs>
          <w:tab w:val="left" w:pos="426"/>
        </w:tabs>
        <w:spacing w:line="300" w:lineRule="auto"/>
        <w:ind w:left="426" w:hanging="426"/>
        <w:jc w:val="both"/>
      </w:pPr>
      <w:r w:rsidRPr="00F34C91">
        <w:t xml:space="preserve">Izpildītājam atbilstības gadījumā jāizsniedz akreditēts sertifikāts, kas apstiprina RP SIA “Rīgas satiksme” ieviestās kvalitātes pārvaldības sistēmas atbilstību ISO 9001, arodveselības un darba drošības pārvaldības sistēmas atbilstību ISO 45001 un </w:t>
      </w:r>
      <w:proofErr w:type="spellStart"/>
      <w:r w:rsidRPr="00F34C91">
        <w:t>energopārvaldības</w:t>
      </w:r>
      <w:proofErr w:type="spellEnd"/>
      <w:r w:rsidRPr="00F34C91">
        <w:t xml:space="preserve"> sistēmas atbilstību ISO 50001 standartu prasībām. Sertifikātam jābūt noformētam angļu un latviešu valodā ar derīguma termiņu ne mazāk kā 3 (trīs) gadi.</w:t>
      </w:r>
    </w:p>
    <w:p w14:paraId="114820C9" w14:textId="77777777" w:rsidR="00822974" w:rsidRPr="00F34C91" w:rsidRDefault="00822974" w:rsidP="00822974">
      <w:pPr>
        <w:pStyle w:val="Default"/>
        <w:numPr>
          <w:ilvl w:val="1"/>
          <w:numId w:val="1"/>
        </w:numPr>
        <w:tabs>
          <w:tab w:val="left" w:pos="426"/>
        </w:tabs>
        <w:spacing w:line="300" w:lineRule="auto"/>
        <w:ind w:left="426" w:hanging="426"/>
        <w:jc w:val="both"/>
      </w:pPr>
      <w:r w:rsidRPr="00F34C91">
        <w:t xml:space="preserve">Pēc sertifikāta izsniegšanas Izpildītājam jāveic divi uzraudzības auditi līdz nākamajam </w:t>
      </w:r>
      <w:proofErr w:type="spellStart"/>
      <w:r w:rsidRPr="00F34C91">
        <w:t>pārsertifikācijas</w:t>
      </w:r>
      <w:proofErr w:type="spellEnd"/>
      <w:r w:rsidRPr="00F34C91">
        <w:t xml:space="preserve"> auditam. </w:t>
      </w:r>
    </w:p>
    <w:p w14:paraId="171E6DA1" w14:textId="77777777" w:rsidR="00822974" w:rsidRPr="00F34C91" w:rsidRDefault="00822974" w:rsidP="00822974">
      <w:pPr>
        <w:pStyle w:val="Default"/>
        <w:numPr>
          <w:ilvl w:val="1"/>
          <w:numId w:val="1"/>
        </w:numPr>
        <w:tabs>
          <w:tab w:val="left" w:pos="426"/>
        </w:tabs>
        <w:spacing w:line="300" w:lineRule="auto"/>
        <w:ind w:left="425" w:hanging="425"/>
        <w:jc w:val="both"/>
      </w:pPr>
      <w:r w:rsidRPr="00F34C91">
        <w:rPr>
          <w:bCs/>
        </w:rPr>
        <w:t xml:space="preserve">RP SIA „Rīgas satiksme” integrētās vadības sistēmas </w:t>
      </w:r>
      <w:proofErr w:type="spellStart"/>
      <w:r w:rsidRPr="00F34C91">
        <w:rPr>
          <w:bCs/>
        </w:rPr>
        <w:t>pārsertifikācijas</w:t>
      </w:r>
      <w:proofErr w:type="spellEnd"/>
      <w:r w:rsidRPr="00F34C91">
        <w:rPr>
          <w:bCs/>
        </w:rPr>
        <w:t xml:space="preserve"> un uzraudzības auditu termiņi:</w:t>
      </w:r>
    </w:p>
    <w:tbl>
      <w:tblPr>
        <w:tblStyle w:val="TableGrid"/>
        <w:tblW w:w="5000" w:type="pct"/>
        <w:tblLook w:val="04A0" w:firstRow="1" w:lastRow="0" w:firstColumn="1" w:lastColumn="0" w:noHBand="0" w:noVBand="1"/>
      </w:tblPr>
      <w:tblGrid>
        <w:gridCol w:w="1196"/>
        <w:gridCol w:w="1770"/>
        <w:gridCol w:w="1852"/>
        <w:gridCol w:w="4810"/>
      </w:tblGrid>
      <w:tr w:rsidR="00822974" w:rsidRPr="008D076D" w14:paraId="4FFC3BA9" w14:textId="77777777" w:rsidTr="00B23569">
        <w:trPr>
          <w:tblHeader/>
        </w:trPr>
        <w:tc>
          <w:tcPr>
            <w:tcW w:w="621" w:type="pct"/>
            <w:vAlign w:val="center"/>
          </w:tcPr>
          <w:p w14:paraId="05606C38" w14:textId="77777777" w:rsidR="00822974" w:rsidRPr="008D076D" w:rsidRDefault="00822974" w:rsidP="00B23569">
            <w:pPr>
              <w:pStyle w:val="Default"/>
              <w:tabs>
                <w:tab w:val="left" w:pos="426"/>
              </w:tabs>
              <w:jc w:val="center"/>
              <w:rPr>
                <w:b/>
                <w:sz w:val="20"/>
                <w:szCs w:val="20"/>
              </w:rPr>
            </w:pPr>
            <w:r w:rsidRPr="008D076D">
              <w:rPr>
                <w:b/>
                <w:sz w:val="20"/>
                <w:szCs w:val="20"/>
              </w:rPr>
              <w:t>Sertifikāts</w:t>
            </w:r>
          </w:p>
        </w:tc>
        <w:tc>
          <w:tcPr>
            <w:tcW w:w="919" w:type="pct"/>
            <w:vAlign w:val="center"/>
          </w:tcPr>
          <w:p w14:paraId="5F2452B2" w14:textId="77777777" w:rsidR="00822974" w:rsidRPr="008D076D" w:rsidRDefault="00822974" w:rsidP="00B23569">
            <w:pPr>
              <w:pStyle w:val="Default"/>
              <w:tabs>
                <w:tab w:val="left" w:pos="426"/>
              </w:tabs>
              <w:jc w:val="center"/>
              <w:rPr>
                <w:b/>
                <w:sz w:val="20"/>
                <w:szCs w:val="20"/>
              </w:rPr>
            </w:pPr>
            <w:proofErr w:type="spellStart"/>
            <w:r w:rsidRPr="008D076D">
              <w:rPr>
                <w:b/>
                <w:sz w:val="20"/>
                <w:szCs w:val="20"/>
              </w:rPr>
              <w:t>Pārsertifikācijas</w:t>
            </w:r>
            <w:proofErr w:type="spellEnd"/>
            <w:r w:rsidRPr="008D076D">
              <w:rPr>
                <w:b/>
                <w:sz w:val="20"/>
                <w:szCs w:val="20"/>
              </w:rPr>
              <w:t xml:space="preserve"> audits</w:t>
            </w:r>
          </w:p>
        </w:tc>
        <w:tc>
          <w:tcPr>
            <w:tcW w:w="962" w:type="pct"/>
            <w:vAlign w:val="center"/>
          </w:tcPr>
          <w:p w14:paraId="0F8552E7" w14:textId="77777777" w:rsidR="00822974" w:rsidRPr="008D076D" w:rsidRDefault="00822974" w:rsidP="00B23569">
            <w:pPr>
              <w:pStyle w:val="Default"/>
              <w:tabs>
                <w:tab w:val="left" w:pos="426"/>
              </w:tabs>
              <w:jc w:val="center"/>
              <w:rPr>
                <w:b/>
                <w:sz w:val="20"/>
                <w:szCs w:val="20"/>
              </w:rPr>
            </w:pPr>
            <w:r w:rsidRPr="008D076D">
              <w:rPr>
                <w:b/>
                <w:sz w:val="20"/>
                <w:szCs w:val="20"/>
              </w:rPr>
              <w:t>1. uzraudzības audits</w:t>
            </w:r>
          </w:p>
        </w:tc>
        <w:tc>
          <w:tcPr>
            <w:tcW w:w="2499" w:type="pct"/>
            <w:vAlign w:val="center"/>
          </w:tcPr>
          <w:p w14:paraId="08CA3266" w14:textId="77777777" w:rsidR="00822974" w:rsidRPr="008D076D" w:rsidRDefault="00822974" w:rsidP="00B23569">
            <w:pPr>
              <w:pStyle w:val="Default"/>
              <w:tabs>
                <w:tab w:val="left" w:pos="426"/>
              </w:tabs>
              <w:jc w:val="center"/>
              <w:rPr>
                <w:b/>
                <w:sz w:val="20"/>
                <w:szCs w:val="20"/>
              </w:rPr>
            </w:pPr>
            <w:r w:rsidRPr="008D076D">
              <w:rPr>
                <w:b/>
                <w:sz w:val="20"/>
                <w:szCs w:val="20"/>
              </w:rPr>
              <w:t>2. uzraudzības audits</w:t>
            </w:r>
          </w:p>
        </w:tc>
      </w:tr>
      <w:tr w:rsidR="00822974" w:rsidRPr="0045547F" w14:paraId="5444F716" w14:textId="77777777" w:rsidTr="00B23569">
        <w:tc>
          <w:tcPr>
            <w:tcW w:w="621" w:type="pct"/>
          </w:tcPr>
          <w:p w14:paraId="1A899C9C"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ISO 9001 </w:t>
            </w:r>
          </w:p>
        </w:tc>
        <w:tc>
          <w:tcPr>
            <w:tcW w:w="919" w:type="pct"/>
          </w:tcPr>
          <w:p w14:paraId="2C49DAD3"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2024. gada </w:t>
            </w:r>
            <w:r>
              <w:rPr>
                <w:bCs/>
                <w:sz w:val="20"/>
                <w:szCs w:val="20"/>
              </w:rPr>
              <w:t>novembris</w:t>
            </w:r>
          </w:p>
          <w:p w14:paraId="285C9570" w14:textId="77777777" w:rsidR="00822974" w:rsidRPr="008D076D" w:rsidRDefault="00822974" w:rsidP="00B23569">
            <w:pPr>
              <w:pStyle w:val="Default"/>
              <w:tabs>
                <w:tab w:val="left" w:pos="426"/>
              </w:tabs>
              <w:jc w:val="center"/>
              <w:rPr>
                <w:bCs/>
                <w:sz w:val="20"/>
                <w:szCs w:val="20"/>
              </w:rPr>
            </w:pPr>
          </w:p>
        </w:tc>
        <w:tc>
          <w:tcPr>
            <w:tcW w:w="962" w:type="pct"/>
          </w:tcPr>
          <w:p w14:paraId="02DDB9CA" w14:textId="77777777" w:rsidR="00822974" w:rsidRPr="008D076D" w:rsidRDefault="00822974" w:rsidP="00B23569">
            <w:pPr>
              <w:pStyle w:val="Default"/>
              <w:tabs>
                <w:tab w:val="left" w:pos="426"/>
              </w:tabs>
              <w:jc w:val="center"/>
              <w:rPr>
                <w:sz w:val="20"/>
                <w:szCs w:val="20"/>
              </w:rPr>
            </w:pPr>
            <w:r w:rsidRPr="008D076D">
              <w:rPr>
                <w:sz w:val="20"/>
                <w:szCs w:val="20"/>
              </w:rPr>
              <w:t xml:space="preserve">Ne vēlāk kā 12 mēnešu laikā pēc </w:t>
            </w:r>
            <w:proofErr w:type="spellStart"/>
            <w:r w:rsidRPr="008D076D">
              <w:rPr>
                <w:sz w:val="20"/>
                <w:szCs w:val="20"/>
              </w:rPr>
              <w:t>pārsertifikācijas</w:t>
            </w:r>
            <w:proofErr w:type="spellEnd"/>
            <w:r w:rsidRPr="008D076D">
              <w:rPr>
                <w:sz w:val="20"/>
                <w:szCs w:val="20"/>
              </w:rPr>
              <w:t xml:space="preserve"> audita</w:t>
            </w:r>
          </w:p>
        </w:tc>
        <w:tc>
          <w:tcPr>
            <w:tcW w:w="2499" w:type="pct"/>
          </w:tcPr>
          <w:p w14:paraId="0F2D3488" w14:textId="77777777" w:rsidR="00822974" w:rsidRPr="008D076D" w:rsidRDefault="00822974" w:rsidP="00B23569">
            <w:pPr>
              <w:pStyle w:val="Default"/>
              <w:tabs>
                <w:tab w:val="left" w:pos="426"/>
              </w:tabs>
              <w:jc w:val="center"/>
              <w:rPr>
                <w:sz w:val="20"/>
                <w:szCs w:val="20"/>
              </w:rPr>
            </w:pPr>
            <w:r w:rsidRPr="008D076D">
              <w:rPr>
                <w:sz w:val="20"/>
                <w:szCs w:val="20"/>
              </w:rPr>
              <w:t>Ne vēlāk kā 12 mēnešu laikā pēc 1. uzraudzības audita</w:t>
            </w:r>
          </w:p>
        </w:tc>
      </w:tr>
      <w:tr w:rsidR="00822974" w:rsidRPr="0045547F" w14:paraId="1EE12EE3" w14:textId="77777777" w:rsidTr="00B23569">
        <w:tc>
          <w:tcPr>
            <w:tcW w:w="621" w:type="pct"/>
          </w:tcPr>
          <w:p w14:paraId="74C7E1E1"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ISO 45001 </w:t>
            </w:r>
          </w:p>
        </w:tc>
        <w:tc>
          <w:tcPr>
            <w:tcW w:w="919" w:type="pct"/>
          </w:tcPr>
          <w:p w14:paraId="33315B3E"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2024. gada </w:t>
            </w:r>
            <w:r>
              <w:rPr>
                <w:bCs/>
                <w:sz w:val="20"/>
                <w:szCs w:val="20"/>
              </w:rPr>
              <w:t>novembris</w:t>
            </w:r>
          </w:p>
          <w:p w14:paraId="07861F96" w14:textId="77777777" w:rsidR="00822974" w:rsidRPr="008D076D" w:rsidRDefault="00822974" w:rsidP="00B23569">
            <w:pPr>
              <w:pStyle w:val="Default"/>
              <w:tabs>
                <w:tab w:val="left" w:pos="426"/>
              </w:tabs>
              <w:jc w:val="center"/>
              <w:rPr>
                <w:bCs/>
                <w:sz w:val="20"/>
                <w:szCs w:val="20"/>
              </w:rPr>
            </w:pPr>
          </w:p>
        </w:tc>
        <w:tc>
          <w:tcPr>
            <w:tcW w:w="962" w:type="pct"/>
          </w:tcPr>
          <w:p w14:paraId="3F766A99" w14:textId="77777777" w:rsidR="00822974" w:rsidRPr="008D076D" w:rsidRDefault="00822974" w:rsidP="00B23569">
            <w:pPr>
              <w:pStyle w:val="Default"/>
              <w:tabs>
                <w:tab w:val="left" w:pos="426"/>
              </w:tabs>
              <w:jc w:val="center"/>
              <w:rPr>
                <w:sz w:val="20"/>
                <w:szCs w:val="20"/>
              </w:rPr>
            </w:pPr>
            <w:r w:rsidRPr="008D076D">
              <w:rPr>
                <w:sz w:val="20"/>
                <w:szCs w:val="20"/>
              </w:rPr>
              <w:t xml:space="preserve">Ne vēlāk kā 12 mēnešu laikā pēc </w:t>
            </w:r>
            <w:proofErr w:type="spellStart"/>
            <w:r w:rsidRPr="008D076D">
              <w:rPr>
                <w:sz w:val="20"/>
                <w:szCs w:val="20"/>
              </w:rPr>
              <w:t>pārsertifikācijas</w:t>
            </w:r>
            <w:proofErr w:type="spellEnd"/>
            <w:r w:rsidRPr="008D076D">
              <w:rPr>
                <w:sz w:val="20"/>
                <w:szCs w:val="20"/>
              </w:rPr>
              <w:t xml:space="preserve"> audita</w:t>
            </w:r>
          </w:p>
        </w:tc>
        <w:tc>
          <w:tcPr>
            <w:tcW w:w="2499" w:type="pct"/>
          </w:tcPr>
          <w:p w14:paraId="3CE456C2" w14:textId="77777777" w:rsidR="00822974" w:rsidRPr="008D076D" w:rsidRDefault="00822974" w:rsidP="00B23569">
            <w:pPr>
              <w:pStyle w:val="Default"/>
              <w:tabs>
                <w:tab w:val="left" w:pos="426"/>
              </w:tabs>
              <w:jc w:val="center"/>
              <w:rPr>
                <w:sz w:val="20"/>
                <w:szCs w:val="20"/>
              </w:rPr>
            </w:pPr>
            <w:r w:rsidRPr="008D076D">
              <w:rPr>
                <w:sz w:val="20"/>
                <w:szCs w:val="20"/>
              </w:rPr>
              <w:t>Ne vēlāk kā 12 mēnešu laikā pēc 1. uzraudzības audita</w:t>
            </w:r>
          </w:p>
        </w:tc>
      </w:tr>
      <w:tr w:rsidR="00822974" w:rsidRPr="0045547F" w14:paraId="62B3D95C" w14:textId="77777777" w:rsidTr="00B23569">
        <w:tc>
          <w:tcPr>
            <w:tcW w:w="621" w:type="pct"/>
          </w:tcPr>
          <w:p w14:paraId="3FD08F36"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ISO 50001 </w:t>
            </w:r>
          </w:p>
        </w:tc>
        <w:tc>
          <w:tcPr>
            <w:tcW w:w="919" w:type="pct"/>
          </w:tcPr>
          <w:p w14:paraId="3F12CECD" w14:textId="77777777" w:rsidR="00822974" w:rsidRPr="008D076D" w:rsidRDefault="00822974" w:rsidP="00B23569">
            <w:pPr>
              <w:pStyle w:val="Default"/>
              <w:tabs>
                <w:tab w:val="left" w:pos="426"/>
              </w:tabs>
              <w:jc w:val="center"/>
              <w:rPr>
                <w:bCs/>
                <w:sz w:val="20"/>
                <w:szCs w:val="20"/>
              </w:rPr>
            </w:pPr>
            <w:r w:rsidRPr="008D076D">
              <w:rPr>
                <w:bCs/>
                <w:sz w:val="20"/>
                <w:szCs w:val="20"/>
              </w:rPr>
              <w:t xml:space="preserve">2025. gada </w:t>
            </w:r>
            <w:r>
              <w:rPr>
                <w:bCs/>
                <w:sz w:val="20"/>
                <w:szCs w:val="20"/>
              </w:rPr>
              <w:t>novembris</w:t>
            </w:r>
          </w:p>
          <w:p w14:paraId="4F94738D" w14:textId="77777777" w:rsidR="00822974" w:rsidRPr="008D076D" w:rsidRDefault="00822974" w:rsidP="00B23569">
            <w:pPr>
              <w:pStyle w:val="Default"/>
              <w:tabs>
                <w:tab w:val="left" w:pos="426"/>
              </w:tabs>
              <w:jc w:val="center"/>
              <w:rPr>
                <w:bCs/>
                <w:sz w:val="20"/>
                <w:szCs w:val="20"/>
              </w:rPr>
            </w:pPr>
          </w:p>
        </w:tc>
        <w:tc>
          <w:tcPr>
            <w:tcW w:w="962" w:type="pct"/>
          </w:tcPr>
          <w:p w14:paraId="0D21C357" w14:textId="77777777" w:rsidR="00822974" w:rsidRPr="008D076D" w:rsidRDefault="00822974" w:rsidP="00B23569">
            <w:pPr>
              <w:pStyle w:val="Default"/>
              <w:tabs>
                <w:tab w:val="left" w:pos="426"/>
              </w:tabs>
              <w:jc w:val="center"/>
              <w:rPr>
                <w:sz w:val="20"/>
                <w:szCs w:val="20"/>
              </w:rPr>
            </w:pPr>
            <w:r w:rsidRPr="008D076D">
              <w:rPr>
                <w:sz w:val="20"/>
                <w:szCs w:val="20"/>
              </w:rPr>
              <w:t xml:space="preserve">Ne vēlāk kā 12 mēnešu laikā pēc </w:t>
            </w:r>
            <w:proofErr w:type="spellStart"/>
            <w:r w:rsidRPr="008D076D">
              <w:rPr>
                <w:sz w:val="20"/>
                <w:szCs w:val="20"/>
              </w:rPr>
              <w:t>pārsertifikācijas</w:t>
            </w:r>
            <w:proofErr w:type="spellEnd"/>
            <w:r w:rsidRPr="008D076D">
              <w:rPr>
                <w:sz w:val="20"/>
                <w:szCs w:val="20"/>
              </w:rPr>
              <w:t xml:space="preserve"> audita</w:t>
            </w:r>
          </w:p>
        </w:tc>
        <w:tc>
          <w:tcPr>
            <w:tcW w:w="2499" w:type="pct"/>
          </w:tcPr>
          <w:p w14:paraId="634F8F49" w14:textId="77777777" w:rsidR="00822974" w:rsidRPr="008D076D" w:rsidRDefault="00822974" w:rsidP="00B23569">
            <w:pPr>
              <w:pStyle w:val="Default"/>
              <w:tabs>
                <w:tab w:val="left" w:pos="426"/>
              </w:tabs>
              <w:jc w:val="center"/>
              <w:rPr>
                <w:b/>
                <w:sz w:val="20"/>
                <w:szCs w:val="20"/>
              </w:rPr>
            </w:pPr>
            <w:r w:rsidRPr="008D076D">
              <w:rPr>
                <w:sz w:val="20"/>
                <w:szCs w:val="20"/>
              </w:rPr>
              <w:t xml:space="preserve">Ne vēlāk kā 12 mēnešu laikā pēc 1. uzraudzības audita </w:t>
            </w:r>
          </w:p>
          <w:p w14:paraId="7E38C393" w14:textId="77777777" w:rsidR="00822974" w:rsidRPr="008D076D" w:rsidRDefault="00822974" w:rsidP="00B23569">
            <w:pPr>
              <w:pStyle w:val="Default"/>
              <w:tabs>
                <w:tab w:val="left" w:pos="426"/>
              </w:tabs>
              <w:jc w:val="center"/>
              <w:rPr>
                <w:sz w:val="20"/>
                <w:szCs w:val="20"/>
              </w:rPr>
            </w:pPr>
          </w:p>
        </w:tc>
      </w:tr>
    </w:tbl>
    <w:p w14:paraId="6A1C319B" w14:textId="77777777" w:rsidR="00404FC1" w:rsidRDefault="00404FC1" w:rsidP="00404FC1">
      <w:pPr>
        <w:pStyle w:val="Default"/>
        <w:tabs>
          <w:tab w:val="left" w:pos="426"/>
        </w:tabs>
        <w:spacing w:before="120" w:line="300" w:lineRule="auto"/>
        <w:jc w:val="both"/>
      </w:pPr>
    </w:p>
    <w:p w14:paraId="51B4E915" w14:textId="77777777" w:rsidR="00404FC1" w:rsidRDefault="00404FC1" w:rsidP="00404FC1">
      <w:pPr>
        <w:pStyle w:val="Default"/>
        <w:tabs>
          <w:tab w:val="left" w:pos="426"/>
        </w:tabs>
        <w:spacing w:before="120" w:line="300" w:lineRule="auto"/>
        <w:jc w:val="both"/>
      </w:pPr>
    </w:p>
    <w:p w14:paraId="28A67B1C" w14:textId="00EB2B5F" w:rsidR="00822974" w:rsidRPr="00F34C91" w:rsidRDefault="00822974" w:rsidP="00822974">
      <w:pPr>
        <w:pStyle w:val="Default"/>
        <w:numPr>
          <w:ilvl w:val="1"/>
          <w:numId w:val="1"/>
        </w:numPr>
        <w:tabs>
          <w:tab w:val="left" w:pos="426"/>
        </w:tabs>
        <w:spacing w:before="120" w:line="300" w:lineRule="auto"/>
        <w:ind w:left="426" w:hanging="426"/>
        <w:jc w:val="both"/>
      </w:pPr>
      <w:r w:rsidRPr="00F34C91">
        <w:lastRenderedPageBreak/>
        <w:t>Pasūtītāja auditējamo vietu adreses Rīgā: </w:t>
      </w:r>
    </w:p>
    <w:p w14:paraId="15CDAF1A"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Vestienas iela 35;</w:t>
      </w:r>
    </w:p>
    <w:p w14:paraId="0EC32854"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Brīvības iela 191;</w:t>
      </w:r>
    </w:p>
    <w:p w14:paraId="6FEED49C"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Brīvības iela 189;</w:t>
      </w:r>
    </w:p>
    <w:p w14:paraId="385F6A6B"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Kleistu iela 28;</w:t>
      </w:r>
    </w:p>
    <w:p w14:paraId="3F826D8D"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Jelgavas iela 37;</w:t>
      </w:r>
    </w:p>
    <w:p w14:paraId="09B19C88"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Ganību dambis 32;</w:t>
      </w:r>
    </w:p>
    <w:p w14:paraId="7DCECCDE"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 xml:space="preserve">Atgāzenes iela 24a; </w:t>
      </w:r>
    </w:p>
    <w:p w14:paraId="01965B16" w14:textId="77777777" w:rsidR="00822974" w:rsidRPr="00F34C91" w:rsidRDefault="00822974" w:rsidP="00822974">
      <w:pPr>
        <w:pStyle w:val="Default"/>
        <w:numPr>
          <w:ilvl w:val="2"/>
          <w:numId w:val="1"/>
        </w:numPr>
        <w:tabs>
          <w:tab w:val="left" w:pos="426"/>
        </w:tabs>
        <w:spacing w:line="300" w:lineRule="auto"/>
        <w:ind w:left="1134" w:hanging="708"/>
        <w:jc w:val="both"/>
      </w:pPr>
      <w:proofErr w:type="spellStart"/>
      <w:r w:rsidRPr="00F34C91">
        <w:t>Fridriķa</w:t>
      </w:r>
      <w:proofErr w:type="spellEnd"/>
      <w:r w:rsidRPr="00F34C91">
        <w:t xml:space="preserve"> iela 2;</w:t>
      </w:r>
    </w:p>
    <w:p w14:paraId="003106FB"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Saskaņā ar ārējo audita plānu kādā no galastacijām vai klientu apkalpošanas centriem;</w:t>
      </w:r>
    </w:p>
    <w:p w14:paraId="73E57032" w14:textId="77777777" w:rsidR="00822974" w:rsidRPr="00F34C91" w:rsidRDefault="00822974" w:rsidP="00822974">
      <w:pPr>
        <w:pStyle w:val="Default"/>
        <w:numPr>
          <w:ilvl w:val="2"/>
          <w:numId w:val="1"/>
        </w:numPr>
        <w:tabs>
          <w:tab w:val="left" w:pos="426"/>
        </w:tabs>
        <w:spacing w:line="300" w:lineRule="auto"/>
        <w:ind w:left="1134" w:hanging="708"/>
        <w:jc w:val="both"/>
      </w:pPr>
      <w:r w:rsidRPr="00F34C91">
        <w:t>Struktūrvienībās (sk. pielikumu).</w:t>
      </w:r>
    </w:p>
    <w:p w14:paraId="440E2F87" w14:textId="77777777" w:rsidR="00822974" w:rsidRPr="00F34C91" w:rsidRDefault="00822974" w:rsidP="00822974">
      <w:pPr>
        <w:pStyle w:val="Default"/>
        <w:numPr>
          <w:ilvl w:val="1"/>
          <w:numId w:val="1"/>
        </w:numPr>
        <w:tabs>
          <w:tab w:val="left" w:pos="426"/>
        </w:tabs>
        <w:spacing w:line="300" w:lineRule="auto"/>
        <w:ind w:left="426" w:hanging="426"/>
        <w:jc w:val="both"/>
      </w:pPr>
      <w:proofErr w:type="spellStart"/>
      <w:r w:rsidRPr="00F34C91">
        <w:t>Pārsertifikācijas</w:t>
      </w:r>
      <w:proofErr w:type="spellEnd"/>
      <w:r w:rsidRPr="00F34C91">
        <w:t xml:space="preserve"> un periodiskās uzraudzības auditus veic saskaņā ar RP SIA „Rīgas satiksme” darba laiku: pirmdiena – ceturtdiena: no plkst. 7.30 līdz 16.30, piektdiena: no plkst. 7.30 līdz 14.00.</w:t>
      </w:r>
    </w:p>
    <w:p w14:paraId="6F4217B2" w14:textId="77777777" w:rsidR="00822974" w:rsidRPr="001279D2" w:rsidRDefault="00822974" w:rsidP="00822974">
      <w:pPr>
        <w:pStyle w:val="Default"/>
        <w:numPr>
          <w:ilvl w:val="1"/>
          <w:numId w:val="1"/>
        </w:numPr>
        <w:tabs>
          <w:tab w:val="left" w:pos="426"/>
        </w:tabs>
        <w:spacing w:line="300" w:lineRule="auto"/>
        <w:ind w:left="426" w:hanging="426"/>
        <w:rPr>
          <w:bCs/>
        </w:rPr>
      </w:pPr>
      <w:r w:rsidRPr="00F34C91">
        <w:rPr>
          <w:bCs/>
          <w:spacing w:val="-2"/>
        </w:rPr>
        <w:t xml:space="preserve">Pasūtītāja kopējais darbinieku </w:t>
      </w:r>
      <w:r w:rsidRPr="001279D2">
        <w:rPr>
          <w:bCs/>
          <w:spacing w:val="-2"/>
        </w:rPr>
        <w:t>skaits: 3396 (uz 01.06.2024.)</w:t>
      </w:r>
    </w:p>
    <w:p w14:paraId="5593F6B5" w14:textId="77777777" w:rsidR="00822974" w:rsidRDefault="00822974" w:rsidP="00822974">
      <w:pPr>
        <w:pStyle w:val="Default"/>
        <w:numPr>
          <w:ilvl w:val="1"/>
          <w:numId w:val="1"/>
        </w:numPr>
        <w:tabs>
          <w:tab w:val="left" w:pos="426"/>
        </w:tabs>
        <w:spacing w:line="300" w:lineRule="auto"/>
        <w:ind w:left="426" w:hanging="426"/>
        <w:jc w:val="both"/>
        <w:rPr>
          <w:color w:val="auto"/>
        </w:rPr>
      </w:pPr>
      <w:r w:rsidRPr="00F34C91">
        <w:rPr>
          <w:color w:val="auto"/>
        </w:rPr>
        <w:t xml:space="preserve">Izpildītājam jānodrošina integrēti vadības sistēmas </w:t>
      </w:r>
      <w:proofErr w:type="spellStart"/>
      <w:r w:rsidRPr="00F34C91">
        <w:rPr>
          <w:color w:val="auto"/>
        </w:rPr>
        <w:t>pārsertifikācijas</w:t>
      </w:r>
      <w:proofErr w:type="spellEnd"/>
      <w:r w:rsidRPr="00F34C91">
        <w:rPr>
          <w:color w:val="auto"/>
        </w:rPr>
        <w:t xml:space="preserve"> un uzraudzības auditi – viena audita laikā auditējot kvalitātes pārvaldības sistēmas atbilstību ISO 9001, arodveselības un darba drošības pārvaldības sistēmas atbilstību ISO 45001 un </w:t>
      </w:r>
      <w:proofErr w:type="spellStart"/>
      <w:r w:rsidRPr="00F34C91">
        <w:rPr>
          <w:color w:val="auto"/>
        </w:rPr>
        <w:t>energopārvaldības</w:t>
      </w:r>
      <w:proofErr w:type="spellEnd"/>
      <w:r w:rsidRPr="00F34C91">
        <w:rPr>
          <w:color w:val="auto"/>
        </w:rPr>
        <w:t xml:space="preserve"> sistēmas atbilstību ISO 50001 standartu prasībām. </w:t>
      </w:r>
    </w:p>
    <w:p w14:paraId="286C5F16" w14:textId="77777777" w:rsidR="00822974" w:rsidRPr="00F34C91" w:rsidRDefault="00822974" w:rsidP="00822974">
      <w:pPr>
        <w:pStyle w:val="Default"/>
        <w:tabs>
          <w:tab w:val="left" w:pos="426"/>
        </w:tabs>
        <w:spacing w:line="300" w:lineRule="auto"/>
        <w:ind w:left="426"/>
        <w:jc w:val="both"/>
        <w:rPr>
          <w:color w:val="auto"/>
        </w:rPr>
      </w:pPr>
    </w:p>
    <w:p w14:paraId="6088A6F5" w14:textId="77777777" w:rsidR="00822974" w:rsidRPr="00F34C91" w:rsidRDefault="00822974" w:rsidP="00822974">
      <w:pPr>
        <w:pStyle w:val="Default"/>
        <w:numPr>
          <w:ilvl w:val="0"/>
          <w:numId w:val="1"/>
        </w:numPr>
        <w:spacing w:line="300" w:lineRule="auto"/>
        <w:rPr>
          <w:b/>
          <w:bCs/>
        </w:rPr>
      </w:pPr>
      <w:r w:rsidRPr="00F34C91">
        <w:rPr>
          <w:b/>
          <w:bCs/>
        </w:rPr>
        <w:t xml:space="preserve">GALA REZULTĀTS </w:t>
      </w:r>
    </w:p>
    <w:p w14:paraId="7579E848" w14:textId="77777777" w:rsidR="00822974" w:rsidRPr="00F34C91" w:rsidRDefault="00822974" w:rsidP="00822974">
      <w:pPr>
        <w:pStyle w:val="Default"/>
        <w:numPr>
          <w:ilvl w:val="1"/>
          <w:numId w:val="1"/>
        </w:numPr>
        <w:tabs>
          <w:tab w:val="left" w:pos="426"/>
        </w:tabs>
        <w:spacing w:line="300" w:lineRule="auto"/>
        <w:ind w:left="426" w:hanging="426"/>
        <w:jc w:val="both"/>
        <w:rPr>
          <w:bCs/>
          <w:color w:val="auto"/>
        </w:rPr>
      </w:pPr>
      <w:r w:rsidRPr="00F34C91">
        <w:rPr>
          <w:bCs/>
        </w:rPr>
        <w:t xml:space="preserve">Veikta </w:t>
      </w:r>
      <w:r w:rsidRPr="00F34C91">
        <w:t xml:space="preserve">RP SIA „Rīgas satiksme” integrētas vadības sistēmas </w:t>
      </w:r>
      <w:proofErr w:type="spellStart"/>
      <w:r w:rsidRPr="00F34C91">
        <w:t>pārsertifikācija</w:t>
      </w:r>
      <w:proofErr w:type="spellEnd"/>
      <w:r w:rsidRPr="00F34C91">
        <w:rPr>
          <w:bCs/>
        </w:rPr>
        <w:t xml:space="preserve"> un izsniegti sertifikāti, kas apliecina atbilstību ISO 9001, ISO 45001, ISO 50001 standartu prasībām. </w:t>
      </w:r>
    </w:p>
    <w:p w14:paraId="60D105D8" w14:textId="77777777" w:rsidR="00822974" w:rsidRPr="00F34C91" w:rsidRDefault="00822974" w:rsidP="00822974">
      <w:pPr>
        <w:pStyle w:val="Default"/>
        <w:numPr>
          <w:ilvl w:val="1"/>
          <w:numId w:val="1"/>
        </w:numPr>
        <w:tabs>
          <w:tab w:val="left" w:pos="426"/>
        </w:tabs>
        <w:spacing w:line="300" w:lineRule="auto"/>
        <w:ind w:left="426" w:hanging="426"/>
        <w:jc w:val="both"/>
        <w:rPr>
          <w:bCs/>
        </w:rPr>
      </w:pPr>
      <w:r w:rsidRPr="00F34C91">
        <w:rPr>
          <w:bCs/>
        </w:rPr>
        <w:t xml:space="preserve">Veikti </w:t>
      </w:r>
      <w:r w:rsidRPr="00F34C91">
        <w:t xml:space="preserve">RP SIA „Rīgas satiksme” integrētās vadības sistēmas (ISO 9001, ISO 45001, ISO 50001) periodiskās uzraudzības auditi. </w:t>
      </w:r>
    </w:p>
    <w:p w14:paraId="4DDA1AB1" w14:textId="77777777" w:rsidR="00822974" w:rsidRDefault="00822974" w:rsidP="00822974">
      <w:pPr>
        <w:pStyle w:val="Default"/>
        <w:tabs>
          <w:tab w:val="left" w:pos="426"/>
        </w:tabs>
        <w:spacing w:line="300" w:lineRule="auto"/>
        <w:ind w:left="426"/>
        <w:jc w:val="both"/>
      </w:pPr>
    </w:p>
    <w:p w14:paraId="1EA8E5C3" w14:textId="77777777" w:rsidR="00822974" w:rsidRDefault="00822974" w:rsidP="00822974">
      <w:pPr>
        <w:pStyle w:val="Default"/>
        <w:tabs>
          <w:tab w:val="left" w:pos="426"/>
        </w:tabs>
        <w:spacing w:line="300" w:lineRule="auto"/>
        <w:ind w:left="426"/>
        <w:jc w:val="right"/>
        <w:rPr>
          <w:bCs/>
        </w:rPr>
      </w:pPr>
    </w:p>
    <w:p w14:paraId="6492ED32" w14:textId="77777777" w:rsidR="005742C0" w:rsidRDefault="005742C0" w:rsidP="00822974">
      <w:pPr>
        <w:pStyle w:val="Default"/>
        <w:tabs>
          <w:tab w:val="left" w:pos="426"/>
        </w:tabs>
        <w:spacing w:line="300" w:lineRule="auto"/>
        <w:ind w:left="426"/>
        <w:jc w:val="right"/>
        <w:rPr>
          <w:bCs/>
        </w:rPr>
      </w:pPr>
    </w:p>
    <w:p w14:paraId="4B7AD205" w14:textId="77777777" w:rsidR="005742C0" w:rsidRDefault="005742C0" w:rsidP="00822974">
      <w:pPr>
        <w:pStyle w:val="Default"/>
        <w:tabs>
          <w:tab w:val="left" w:pos="426"/>
        </w:tabs>
        <w:spacing w:line="300" w:lineRule="auto"/>
        <w:ind w:left="426"/>
        <w:jc w:val="right"/>
        <w:rPr>
          <w:bCs/>
        </w:rPr>
      </w:pPr>
    </w:p>
    <w:p w14:paraId="0E6B3970" w14:textId="77777777" w:rsidR="005742C0" w:rsidRDefault="005742C0" w:rsidP="00404FC1">
      <w:pPr>
        <w:pStyle w:val="Default"/>
        <w:tabs>
          <w:tab w:val="left" w:pos="426"/>
        </w:tabs>
        <w:spacing w:line="300" w:lineRule="auto"/>
        <w:rPr>
          <w:bCs/>
        </w:rPr>
        <w:sectPr w:rsidR="005742C0" w:rsidSect="00822974">
          <w:pgSz w:w="11906" w:h="16838" w:code="9"/>
          <w:pgMar w:top="1134" w:right="567" w:bottom="1134" w:left="1701" w:header="709" w:footer="709" w:gutter="0"/>
          <w:cols w:space="708"/>
          <w:docGrid w:linePitch="360"/>
        </w:sectPr>
      </w:pPr>
    </w:p>
    <w:p w14:paraId="428744CB" w14:textId="11FF5ED9" w:rsidR="00822974" w:rsidRDefault="00822974" w:rsidP="00404FC1">
      <w:pPr>
        <w:pStyle w:val="Default"/>
        <w:tabs>
          <w:tab w:val="left" w:pos="426"/>
        </w:tabs>
        <w:spacing w:line="300" w:lineRule="auto"/>
        <w:jc w:val="right"/>
        <w:rPr>
          <w:bCs/>
        </w:rPr>
      </w:pPr>
      <w:r w:rsidRPr="00F34C91">
        <w:rPr>
          <w:bCs/>
        </w:rPr>
        <w:lastRenderedPageBreak/>
        <w:t>Pielikums</w:t>
      </w:r>
    </w:p>
    <w:p w14:paraId="5A67080C" w14:textId="77777777" w:rsidR="00822974" w:rsidRPr="00EF3EEF" w:rsidRDefault="00822974" w:rsidP="00EF3EEF">
      <w:pPr>
        <w:pStyle w:val="Default"/>
        <w:tabs>
          <w:tab w:val="left" w:pos="426"/>
        </w:tabs>
        <w:ind w:left="426"/>
        <w:jc w:val="right"/>
        <w:rPr>
          <w:bCs/>
          <w:i/>
          <w:iCs/>
          <w:sz w:val="18"/>
          <w:szCs w:val="18"/>
        </w:rPr>
      </w:pPr>
      <w:r w:rsidRPr="00EF3EEF">
        <w:rPr>
          <w:bCs/>
          <w:i/>
          <w:iCs/>
          <w:sz w:val="18"/>
          <w:szCs w:val="18"/>
        </w:rPr>
        <w:t>Tehniskajai specifikācijai “Integrētās vadības sistēmas (ISO 9001, ISO 45001 un ISO 50001)</w:t>
      </w:r>
    </w:p>
    <w:p w14:paraId="3DAC8834" w14:textId="77777777" w:rsidR="00822974" w:rsidRDefault="00822974" w:rsidP="00EF3EEF">
      <w:pPr>
        <w:pStyle w:val="Default"/>
        <w:tabs>
          <w:tab w:val="left" w:pos="426"/>
        </w:tabs>
        <w:ind w:left="426"/>
        <w:jc w:val="right"/>
        <w:rPr>
          <w:bCs/>
          <w:i/>
          <w:iCs/>
          <w:sz w:val="18"/>
          <w:szCs w:val="18"/>
        </w:rPr>
      </w:pPr>
      <w:proofErr w:type="spellStart"/>
      <w:r w:rsidRPr="00EF3EEF">
        <w:rPr>
          <w:bCs/>
          <w:i/>
          <w:iCs/>
          <w:sz w:val="18"/>
          <w:szCs w:val="18"/>
        </w:rPr>
        <w:t>pārsertifikācijas</w:t>
      </w:r>
      <w:proofErr w:type="spellEnd"/>
      <w:r w:rsidRPr="00EF3EEF">
        <w:rPr>
          <w:bCs/>
          <w:i/>
          <w:iCs/>
          <w:sz w:val="18"/>
          <w:szCs w:val="18"/>
        </w:rPr>
        <w:t xml:space="preserve"> un periodiskās uzraudzības pakalpojumi”</w:t>
      </w:r>
    </w:p>
    <w:p w14:paraId="66CC5C28" w14:textId="77777777" w:rsidR="00EF3EEF" w:rsidRPr="00EF3EEF" w:rsidRDefault="00EF3EEF" w:rsidP="00EF3EEF">
      <w:pPr>
        <w:pStyle w:val="Default"/>
        <w:tabs>
          <w:tab w:val="left" w:pos="426"/>
        </w:tabs>
        <w:ind w:left="426"/>
        <w:jc w:val="right"/>
        <w:rPr>
          <w:bCs/>
          <w:i/>
          <w:iCs/>
          <w:sz w:val="18"/>
          <w:szCs w:val="18"/>
        </w:rPr>
      </w:pPr>
    </w:p>
    <w:p w14:paraId="16531E9C" w14:textId="0A665397" w:rsidR="00822974" w:rsidRPr="00822974" w:rsidRDefault="00EF3EEF" w:rsidP="00EF3EEF">
      <w:pPr>
        <w:jc w:val="center"/>
        <w:rPr>
          <w:lang w:val="lv-LV"/>
        </w:rPr>
      </w:pPr>
      <w:r w:rsidRPr="00F34C91">
        <w:rPr>
          <w:noProof/>
        </w:rPr>
        <w:drawing>
          <wp:inline distT="0" distB="0" distL="0" distR="0" wp14:anchorId="12A18107" wp14:editId="4B5C3831">
            <wp:extent cx="7232162" cy="436913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39312" cy="4373451"/>
                    </a:xfrm>
                    <a:prstGeom prst="rect">
                      <a:avLst/>
                    </a:prstGeom>
                  </pic:spPr>
                </pic:pic>
              </a:graphicData>
            </a:graphic>
          </wp:inline>
        </w:drawing>
      </w:r>
    </w:p>
    <w:sectPr w:rsidR="00822974" w:rsidRPr="00822974" w:rsidSect="005742C0">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34C5"/>
    <w:multiLevelType w:val="multilevel"/>
    <w:tmpl w:val="7D64E1E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91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92"/>
    <w:rsid w:val="00147AD2"/>
    <w:rsid w:val="00404FC1"/>
    <w:rsid w:val="0045547F"/>
    <w:rsid w:val="005742C0"/>
    <w:rsid w:val="00711E92"/>
    <w:rsid w:val="00822974"/>
    <w:rsid w:val="00C24F3D"/>
    <w:rsid w:val="00E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A595"/>
  <w15:chartTrackingRefBased/>
  <w15:docId w15:val="{A95ECF82-539A-4A14-BB08-9C1816BF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2974"/>
    <w:pPr>
      <w:spacing w:after="0" w:line="240" w:lineRule="auto"/>
      <w:jc w:val="center"/>
    </w:pPr>
    <w:rPr>
      <w:rFonts w:ascii="Times New Roman" w:eastAsia="Times New Roman" w:hAnsi="Times New Roman" w:cs="Times New Roman"/>
      <w:b/>
      <w:kern w:val="0"/>
      <w:sz w:val="24"/>
      <w:szCs w:val="20"/>
      <w:lang w:val="lv-LV" w:eastAsia="lv-LV"/>
      <w14:ligatures w14:val="none"/>
    </w:rPr>
  </w:style>
  <w:style w:type="character" w:customStyle="1" w:styleId="TitleChar">
    <w:name w:val="Title Char"/>
    <w:basedOn w:val="DefaultParagraphFont"/>
    <w:link w:val="Title"/>
    <w:rsid w:val="00822974"/>
    <w:rPr>
      <w:rFonts w:ascii="Times New Roman" w:eastAsia="Times New Roman" w:hAnsi="Times New Roman" w:cs="Times New Roman"/>
      <w:b/>
      <w:kern w:val="0"/>
      <w:sz w:val="24"/>
      <w:szCs w:val="20"/>
      <w:lang w:val="lv-LV" w:eastAsia="lv-LV"/>
      <w14:ligatures w14:val="none"/>
    </w:rPr>
  </w:style>
  <w:style w:type="paragraph" w:customStyle="1" w:styleId="Default">
    <w:name w:val="Default"/>
    <w:rsid w:val="00822974"/>
    <w:pPr>
      <w:autoSpaceDE w:val="0"/>
      <w:autoSpaceDN w:val="0"/>
      <w:adjustRightInd w:val="0"/>
      <w:spacing w:after="0" w:line="240" w:lineRule="auto"/>
    </w:pPr>
    <w:rPr>
      <w:rFonts w:ascii="Times New Roman" w:eastAsia="Times New Roman" w:hAnsi="Times New Roman" w:cs="Times New Roman"/>
      <w:color w:val="000000"/>
      <w:kern w:val="0"/>
      <w:sz w:val="24"/>
      <w:szCs w:val="24"/>
      <w:lang w:val="lv-LV" w:eastAsia="lv-LV"/>
      <w14:ligatures w14:val="none"/>
    </w:rPr>
  </w:style>
  <w:style w:type="table" w:styleId="TableGrid">
    <w:name w:val="Table Grid"/>
    <w:basedOn w:val="TableNormal"/>
    <w:uiPriority w:val="39"/>
    <w:rsid w:val="0082297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Riekstiņa</dc:creator>
  <cp:keywords/>
  <dc:description/>
  <cp:lastModifiedBy>Solvita Riekstiņa</cp:lastModifiedBy>
  <cp:revision>7</cp:revision>
  <dcterms:created xsi:type="dcterms:W3CDTF">2024-06-18T08:34:00Z</dcterms:created>
  <dcterms:modified xsi:type="dcterms:W3CDTF">2024-06-20T06:34:00Z</dcterms:modified>
</cp:coreProperties>
</file>