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24D9" w14:textId="77777777" w:rsidR="00921D08" w:rsidRDefault="00921D08" w:rsidP="009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>Tehniskā specifikācija</w:t>
      </w:r>
    </w:p>
    <w:p w14:paraId="75B24140" w14:textId="29565911" w:rsidR="00921D08" w:rsidRPr="00E317F7" w:rsidRDefault="00951CF4" w:rsidP="00E317F7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17F7">
        <w:rPr>
          <w:rFonts w:ascii="Times New Roman" w:eastAsia="Calibri" w:hAnsi="Times New Roman" w:cs="Times New Roman"/>
          <w:i/>
          <w:iCs/>
          <w:sz w:val="24"/>
          <w:szCs w:val="24"/>
        </w:rPr>
        <w:t>Divasmeņu pārmijas, krusteņi un krustojumi</w:t>
      </w:r>
    </w:p>
    <w:p w14:paraId="4F055402" w14:textId="1179207A" w:rsidR="00921D08" w:rsidRDefault="00921D08" w:rsidP="00D33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C62F6" w14:textId="3FD10EAE" w:rsidR="00921D08" w:rsidRPr="00440FB5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E2489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ār</w:t>
      </w:r>
      <w:r w:rsidR="001E2489">
        <w:rPr>
          <w:rFonts w:ascii="Times New Roman" w:eastAsia="Calibri" w:hAnsi="Times New Roman" w:cs="Times New Roman"/>
          <w:sz w:val="24"/>
          <w:szCs w:val="24"/>
        </w:rPr>
        <w:t>miju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vadības sistēmas</w:t>
      </w:r>
      <w:r w:rsidR="001E2489">
        <w:rPr>
          <w:rFonts w:ascii="Times New Roman" w:eastAsia="Calibri" w:hAnsi="Times New Roman" w:cs="Times New Roman"/>
          <w:sz w:val="24"/>
          <w:szCs w:val="24"/>
        </w:rPr>
        <w:t xml:space="preserve"> un aprīkojuma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(tai skaitā sliežu ceļa kontūru,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pārslēgiekārtas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gaisvadu pārmijas, </w:t>
      </w:r>
      <w:r>
        <w:rPr>
          <w:rFonts w:ascii="Times New Roman" w:hAnsi="Times New Roman" w:cs="Times New Roman"/>
          <w:sz w:val="24"/>
          <w:szCs w:val="24"/>
        </w:rPr>
        <w:t xml:space="preserve">pārslēgšanas impulsa signāla pārveidotājs (turpmāk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MSR) un luksofora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signālizācijas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pieslēgšanu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un regulēšanu objektā veic minētās sistēmas ražotāja pārstāvis, Preces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piegādātājs nodrošina piegādātās  pārmiju vadības sistēmas ražotāja pārstāvja dalību pārmiju vadības sistēmas pieslēgšanas un regulēšanas darbu procesā pēc</w:t>
      </w:r>
      <w:r>
        <w:rPr>
          <w:rFonts w:ascii="Times New Roman" w:eastAsia="Calibri" w:hAnsi="Times New Roman" w:cs="Times New Roman"/>
          <w:sz w:val="24"/>
          <w:szCs w:val="24"/>
        </w:rPr>
        <w:t xml:space="preserve"> pārmiju vadības sistēmas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v-LV"/>
        </w:rPr>
        <w:t>iebūves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objektā un šo darbu izmaksas piegādātājs iekļauj piegādes izmaksās.</w:t>
      </w:r>
      <w:r>
        <w:rPr>
          <w:rFonts w:ascii="Times New Roman" w:eastAsia="Calibri" w:hAnsi="Times New Roman" w:cs="Times New Roman"/>
          <w:color w:val="1F497D"/>
          <w:sz w:val="24"/>
          <w:szCs w:val="24"/>
          <w:lang w:eastAsia="lv-LV"/>
        </w:rPr>
        <w:t xml:space="preserve"> </w:t>
      </w:r>
      <w:r w:rsidR="007C59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 </w:t>
      </w:r>
    </w:p>
    <w:p w14:paraId="29DD2F1E" w14:textId="7FDE2976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Gaisvadu sistēmas elementiem jānodrošina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kontaktstie</w:t>
      </w:r>
      <w:r w:rsidR="007A7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ņ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un pantogrāfa tipa strāvas noņēmēja droša kustība</w:t>
      </w:r>
      <w:r w:rsidR="00484F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, ja pasūtītājs 3.pielikum</w:t>
      </w:r>
      <w:r w:rsidR="007A7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a tabulā</w:t>
      </w:r>
      <w:r w:rsidR="00484F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nav norādījis </w:t>
      </w:r>
      <w:r w:rsidR="007A75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savādāk.</w:t>
      </w:r>
    </w:p>
    <w:p w14:paraId="25654AC5" w14:textId="210396BB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Pārmijas vadības iekārtai jānodrošina brīdinājuma signalizācija gadījumam, ja nesakrīt gaisvadu un sliežu pārmijas virziens. </w:t>
      </w:r>
    </w:p>
    <w:p w14:paraId="39F23C3C" w14:textId="77777777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Paredzēt gaisvada pārmijas, vadības un signalizācijas ķēžu galvanisko atsaisti no vadības bloka.  </w:t>
      </w:r>
    </w:p>
    <w:p w14:paraId="1CFDAD61" w14:textId="77777777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Paredzēt attālinātu piekļuvi pārmijas vadības kontrolierim ar datu nolasīšanas un pārmijas stāvokļa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monitorēšanas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iespēju. </w:t>
      </w:r>
    </w:p>
    <w:p w14:paraId="4AF12513" w14:textId="78E75703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Pr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eces garantijas termiņš stājas spēkā pēc pārmiju vadības sistēmas pieslēgšanas, regulēšanas un darbības palaišanas objektā, kas tiek noformēta ar  pieņemšanas – nodošanas aktu.</w:t>
      </w:r>
    </w:p>
    <w:p w14:paraId="202824A5" w14:textId="77777777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Piegādātājam kopā ar Preci jāiesniedz pilna tehniskā dokumentācija un rasējumi oriģinālajā un LR valsts valodā par piegādātajām  pārmijām un vadības sistēmu. </w:t>
      </w:r>
    </w:p>
    <w:p w14:paraId="3F128025" w14:textId="3602A5F1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Piegādātājam jānodrošina programmatūra un apmācības</w:t>
      </w:r>
      <w:r w:rsidR="00484F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Pasūtītāja (RP SIA Rīgas satiksme)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apkalpojošajam personālam par pārmijas vadības iekārtu un datu iegūšanu, un apstrādi. </w:t>
      </w:r>
    </w:p>
    <w:p w14:paraId="43CAD9BE" w14:textId="0127C7A4" w:rsidR="00921D08" w:rsidRDefault="00921D08" w:rsidP="00E317F7">
      <w:pPr>
        <w:spacing w:after="0" w:line="276" w:lineRule="auto"/>
        <w:ind w:firstLine="56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Sistēmai jāatbilst SIL3 drošības līmenim atbilstoši CENELEC standartiem EN 50121-4, EN 50121-1, EN 50125-3, EN 50126, NE 50128, EN 50129 un EN 50159-1 vai ekvivalentam.  Piegādātājam, iesniedzot piedāvājumu, jāiesniedz attiecīgo sertifikātu kopijas.  </w:t>
      </w:r>
    </w:p>
    <w:p w14:paraId="581020BE" w14:textId="40C72AE2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Sistēmas un iekārtu ražotājam jābūt sertifikātam par šādu standartu prasību izpildi: Kvalitātes pārvaldība un kvalitātes nodrošināšana EN ISO 9001; Starptautiskais dzelzceļa industrijas standarts ISO/TS22163 vai ekvivalentam. Piegādātājam, iesniedzot piedāvājumu, jāiesniedz attiecīgo sertifikātu kopijas.         </w:t>
      </w:r>
    </w:p>
    <w:p w14:paraId="7DC5073D" w14:textId="77777777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Pārvedas jāpiegādā komplektā kopā ar piesūcinātiem ozolkoka gulšņiem  marķētiem atbilstoši ražotāja pievienotajai shēmai un stiprinājumiem.</w:t>
      </w:r>
    </w:p>
    <w:p w14:paraId="2321A0CC" w14:textId="2DF23AD1" w:rsidR="007A755D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Krusteņu, pārmiju un to vadības iekārtu tehniskie apraksti pievienoti Tehniskās specifikācijas 1. un 2.</w:t>
      </w:r>
      <w:r w:rsidR="00092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pielikumā. </w:t>
      </w:r>
      <w:r w:rsidR="007C59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320498D0" w14:textId="6A3287B9" w:rsidR="00921D08" w:rsidRDefault="00921D08" w:rsidP="00E317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Pārvedu parametri, virziens</w:t>
      </w:r>
      <w:r w:rsidR="00CC20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pārslēgiekārtas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tips</w:t>
      </w:r>
      <w:r w:rsidR="00CC20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un aprīkojums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norādīts </w:t>
      </w:r>
      <w:r w:rsidR="00BE3C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3.pielikum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ā.</w:t>
      </w:r>
    </w:p>
    <w:sectPr w:rsidR="00921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A1B"/>
    <w:multiLevelType w:val="multilevel"/>
    <w:tmpl w:val="637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29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08"/>
    <w:rsid w:val="00092FF8"/>
    <w:rsid w:val="001E2489"/>
    <w:rsid w:val="0034535F"/>
    <w:rsid w:val="00440FB5"/>
    <w:rsid w:val="00484F73"/>
    <w:rsid w:val="00601EC1"/>
    <w:rsid w:val="006D2544"/>
    <w:rsid w:val="00755F28"/>
    <w:rsid w:val="007A755D"/>
    <w:rsid w:val="007C59AF"/>
    <w:rsid w:val="007D7A9B"/>
    <w:rsid w:val="008B5233"/>
    <w:rsid w:val="008E77A6"/>
    <w:rsid w:val="00921D08"/>
    <w:rsid w:val="00951CF4"/>
    <w:rsid w:val="00BE3C16"/>
    <w:rsid w:val="00C772EF"/>
    <w:rsid w:val="00CC206E"/>
    <w:rsid w:val="00D139B9"/>
    <w:rsid w:val="00D3356E"/>
    <w:rsid w:val="00E317F7"/>
    <w:rsid w:val="00F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9EE"/>
  <w15:chartTrackingRefBased/>
  <w15:docId w15:val="{03B45356-D024-4656-9CE4-30FE3F4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Solvita Riekstiņa</cp:lastModifiedBy>
  <cp:revision>7</cp:revision>
  <dcterms:created xsi:type="dcterms:W3CDTF">2024-03-06T07:37:00Z</dcterms:created>
  <dcterms:modified xsi:type="dcterms:W3CDTF">2024-03-08T08:26:00Z</dcterms:modified>
</cp:coreProperties>
</file>