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D56B" w14:textId="42B572EF" w:rsidR="00112D1D" w:rsidRPr="00112D1D" w:rsidRDefault="00112D1D" w:rsidP="00112D1D">
      <w:pPr>
        <w:suppressAutoHyphens/>
        <w:autoSpaceDN w:val="0"/>
        <w:jc w:val="right"/>
        <w:textAlignment w:val="baseline"/>
        <w:rPr>
          <w:i/>
          <w:iCs/>
        </w:rPr>
      </w:pPr>
      <w:r w:rsidRPr="00112D1D">
        <w:rPr>
          <w:i/>
          <w:iCs/>
        </w:rPr>
        <w:t>Tirgus izpētes pielikums Nr.2</w:t>
      </w:r>
    </w:p>
    <w:p w14:paraId="2466CE17" w14:textId="77777777" w:rsidR="00112D1D" w:rsidRDefault="00112D1D" w:rsidP="009D11AB">
      <w:pPr>
        <w:suppressAutoHyphens/>
        <w:autoSpaceDN w:val="0"/>
        <w:jc w:val="center"/>
        <w:textAlignment w:val="baseline"/>
        <w:rPr>
          <w:b/>
          <w:bCs/>
          <w:sz w:val="28"/>
          <w:szCs w:val="28"/>
        </w:rPr>
      </w:pPr>
    </w:p>
    <w:p w14:paraId="3B5EBE74" w14:textId="052C5C7D" w:rsidR="00D12DC6" w:rsidRPr="009D11AB" w:rsidRDefault="00F87D5E" w:rsidP="009D11AB">
      <w:pPr>
        <w:suppressAutoHyphens/>
        <w:autoSpaceDN w:val="0"/>
        <w:jc w:val="center"/>
        <w:textAlignment w:val="baseline"/>
        <w:rPr>
          <w:b/>
          <w:bCs/>
          <w:sz w:val="28"/>
          <w:szCs w:val="28"/>
        </w:rPr>
      </w:pPr>
      <w:r w:rsidRPr="009D11AB">
        <w:rPr>
          <w:b/>
          <w:bCs/>
          <w:sz w:val="28"/>
          <w:szCs w:val="28"/>
        </w:rPr>
        <w:t>Būvdarbu organiz</w:t>
      </w:r>
      <w:r w:rsidR="00A81688" w:rsidRPr="009D11AB">
        <w:rPr>
          <w:b/>
          <w:bCs/>
          <w:sz w:val="28"/>
          <w:szCs w:val="28"/>
        </w:rPr>
        <w:t>ācijas nosacījumi</w:t>
      </w:r>
    </w:p>
    <w:p w14:paraId="454278B7" w14:textId="77777777" w:rsidR="00D12DC6" w:rsidRPr="009D11AB" w:rsidRDefault="00D12DC6" w:rsidP="009D11AB">
      <w:pPr>
        <w:suppressAutoHyphens/>
        <w:autoSpaceDN w:val="0"/>
        <w:spacing w:after="120"/>
        <w:jc w:val="center"/>
        <w:textAlignment w:val="baseline"/>
        <w:rPr>
          <w:b/>
          <w:bCs/>
          <w:sz w:val="22"/>
          <w:szCs w:val="22"/>
        </w:rPr>
      </w:pPr>
    </w:p>
    <w:p w14:paraId="221DE1C5" w14:textId="252EFA0E" w:rsidR="00D12DC6" w:rsidRPr="009D11AB" w:rsidRDefault="00D12DC6" w:rsidP="009D11AB">
      <w:pPr>
        <w:suppressAutoHyphens/>
        <w:autoSpaceDN w:val="0"/>
        <w:spacing w:after="120"/>
        <w:jc w:val="center"/>
        <w:textAlignment w:val="baseline"/>
        <w:rPr>
          <w:b/>
          <w:bCs/>
          <w:color w:val="FF0000"/>
          <w:sz w:val="22"/>
          <w:szCs w:val="22"/>
        </w:rPr>
      </w:pPr>
      <w:r w:rsidRPr="009D11AB">
        <w:rPr>
          <w:b/>
          <w:bCs/>
          <w:color w:val="FF0000"/>
          <w:sz w:val="22"/>
          <w:szCs w:val="22"/>
        </w:rPr>
        <w:t>PARAUGS</w:t>
      </w:r>
      <w:r w:rsidR="00F87D5E" w:rsidRPr="009D11AB">
        <w:rPr>
          <w:b/>
          <w:bCs/>
          <w:color w:val="FF0000"/>
          <w:sz w:val="22"/>
          <w:szCs w:val="22"/>
        </w:rPr>
        <w:t xml:space="preserve">, </w:t>
      </w:r>
      <w:r w:rsidR="009D11AB">
        <w:rPr>
          <w:b/>
          <w:bCs/>
          <w:color w:val="FF0000"/>
          <w:sz w:val="22"/>
          <w:szCs w:val="22"/>
        </w:rPr>
        <w:t>kas tiks pielāgots</w:t>
      </w:r>
      <w:r w:rsidR="00F87D5E" w:rsidRPr="009D11AB">
        <w:rPr>
          <w:b/>
          <w:bCs/>
          <w:color w:val="FF0000"/>
          <w:sz w:val="22"/>
          <w:szCs w:val="22"/>
        </w:rPr>
        <w:t xml:space="preserve"> katram būvobjektam atbilstošo esošajai situācijai</w:t>
      </w:r>
    </w:p>
    <w:p w14:paraId="6F6AFB82" w14:textId="77777777" w:rsidR="00D12DC6" w:rsidRPr="009D11AB" w:rsidRDefault="00D12DC6" w:rsidP="009D11AB">
      <w:pPr>
        <w:suppressAutoHyphens/>
        <w:autoSpaceDN w:val="0"/>
        <w:spacing w:after="120"/>
        <w:jc w:val="center"/>
        <w:textAlignment w:val="baseline"/>
        <w:rPr>
          <w:b/>
          <w:bCs/>
          <w:sz w:val="22"/>
          <w:szCs w:val="22"/>
        </w:rPr>
      </w:pPr>
    </w:p>
    <w:p w14:paraId="763FAC39" w14:textId="77777777" w:rsidR="00D12DC6" w:rsidRPr="009D11AB" w:rsidRDefault="00D12DC6" w:rsidP="009D11AB">
      <w:pPr>
        <w:pStyle w:val="Title"/>
        <w:spacing w:after="60"/>
        <w:ind w:left="567" w:hanging="567"/>
        <w:contextualSpacing w:val="0"/>
        <w:jc w:val="both"/>
        <w:rPr>
          <w:sz w:val="22"/>
          <w:szCs w:val="22"/>
        </w:rPr>
      </w:pPr>
      <w:r w:rsidRPr="009D11AB">
        <w:rPr>
          <w:sz w:val="22"/>
          <w:szCs w:val="22"/>
        </w:rPr>
        <w:t>Būvdarbu veikšana, saskaņošana un organizēšana:</w:t>
      </w:r>
    </w:p>
    <w:p w14:paraId="03BF0C9C"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Uzņēmējam jāievēro Latvijas Republikas spēkā esošās būvniecības, darba drošības un darba aizsardzības normas un noteikumi.</w:t>
      </w:r>
    </w:p>
    <w:p w14:paraId="53536090"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40AC4E60"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Pirms būvdarbu uzsākšanas Uzņēmējam rūpīgi jāiepazīstas ar būvdarbu veikšanas zonu, esošo situāciju,  būvlaukumu, jāizstrādā Darbu veikšanas projekts, jāiegūst visas nepieciešamās atļaujas un nepieciešamie skaņojumi darbu uzsākšanai, jāuzstāda norobežojošās un brīdinājuma zīmes un jāveic citi nepieciešamie preventīvie pasākumi būvlaukuma iekārtošanai.</w:t>
      </w:r>
    </w:p>
    <w:p w14:paraId="2D479F74"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 xml:space="preserve">Uzņēmējs ir pilnībā atbildīgs par visu saistīto inženierkomunikāciju pārslēgšanu, atslēgšanu, būvlaukumam piesaistīto resursu uzskaiti, pagaidu </w:t>
      </w:r>
      <w:proofErr w:type="spellStart"/>
      <w:r w:rsidRPr="009D11AB">
        <w:rPr>
          <w:sz w:val="22"/>
          <w:szCs w:val="22"/>
        </w:rPr>
        <w:t>pieslēgumu</w:t>
      </w:r>
      <w:proofErr w:type="spellEnd"/>
      <w:r w:rsidRPr="009D11AB">
        <w:rPr>
          <w:sz w:val="22"/>
          <w:szCs w:val="22"/>
        </w:rPr>
        <w:t xml:space="preserve"> izbūvi un ekspluatāciju būvdarbu izpildes laikā savām vajadzībām. Par patērētā ūdens, elektrības, siltumenerģijas resursiem, ja tiek izmantota Pasūtītāja infrastruktūra, Uzņēmējs maksā Pasūtītājam saskaņā skaitītāju rādītājiem vai vienojoties par konkrētu patēriņa aprēķinu.</w:t>
      </w:r>
    </w:p>
    <w:p w14:paraId="2FBCF22B"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 xml:space="preserve">Uzņēmējam, pirms darbu uzsākšanas, jāsaskaņo minētā uzdevuma izpildei nepieciešamo tehnisko dokumentāciju ar valsts un/ vai pašvaldību, vai citām iestādēm un organizācijām, sedzot par saviem finanšu līdzekļiem visus ar iepriekšminētajām darbībām saistītās izmaksas. </w:t>
      </w:r>
    </w:p>
    <w:p w14:paraId="7EA32AF7"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54B453A5"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 xml:space="preserve">Uzņēmējs ir atbildīgs par būvdarbu izpildes procesa saskaņošanu Pasūtītāja pārstāvi, savlaicīgi plānojot troksni un vibrācijas izraisošus būvdarbus </w:t>
      </w:r>
      <w:proofErr w:type="spellStart"/>
      <w:r w:rsidRPr="009D11AB">
        <w:rPr>
          <w:sz w:val="22"/>
          <w:szCs w:val="22"/>
        </w:rPr>
        <w:t>inženierkomunikkāciju</w:t>
      </w:r>
      <w:proofErr w:type="spellEnd"/>
      <w:r w:rsidRPr="009D11AB">
        <w:rPr>
          <w:sz w:val="22"/>
          <w:szCs w:val="22"/>
        </w:rPr>
        <w:t xml:space="preserve"> pieslēgšanas un pārslēgšanās darbus, veikt tos ārpus Pasūtītāja norādītā laika (piemēram, darba dienās no pl.16-21, brīvdienās no pl.10-18).</w:t>
      </w:r>
    </w:p>
    <w:p w14:paraId="24F9BBFB" w14:textId="69C1FF41"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 xml:space="preserve">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12 stundas pirms transporta iebraukšanas teritorijā. Uzņēmēja vieglo transporta līdzekļu novietošana </w:t>
      </w:r>
      <w:r w:rsidR="00E93064" w:rsidRPr="009D11AB">
        <w:rPr>
          <w:sz w:val="22"/>
          <w:szCs w:val="22"/>
        </w:rPr>
        <w:t>Pasūtītāja</w:t>
      </w:r>
      <w:r w:rsidRPr="009D11AB">
        <w:rPr>
          <w:sz w:val="22"/>
          <w:szCs w:val="22"/>
        </w:rPr>
        <w:t xml:space="preserve"> teritorijā būvdarbu veikšanas laikā nav atļauta.</w:t>
      </w:r>
    </w:p>
    <w:p w14:paraId="1BAD5A43"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Uzsākot darbus, nepieciešamības gadījumā, Uzņēmējam jāatbrīvo telpas no mēbelēm. Būvdarba procesa laikā mēbeles, tehnoloģijas vai iekārtas, kuras nevar pārvietot, jānosedz un jāpasargā no būvdarbu ietekmes.</w:t>
      </w:r>
    </w:p>
    <w:p w14:paraId="646C7A27"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jāveic to foto fiksācija.</w:t>
      </w:r>
    </w:p>
    <w:p w14:paraId="309724C0"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3169B9E2"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Uzņēmējs veic visus darbus, piesaistot nepieciešamo darbaspēku, tehniku, aprīkojumu, darbarīkiem un materiāliem.</w:t>
      </w:r>
      <w:bookmarkStart w:id="0" w:name="n0"/>
      <w:bookmarkEnd w:id="0"/>
    </w:p>
    <w:p w14:paraId="400CEEAA"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t>Visiem būvlaukumā esošajiem cilvēkiem uz apģērba vai ķiveres ir jābūt rūpnieciski uzdrukātai atpazīšanas zīmei pārstāvēto uzņēmumu.</w:t>
      </w:r>
    </w:p>
    <w:p w14:paraId="4B2CC83F" w14:textId="77777777" w:rsidR="00D12DC6" w:rsidRPr="009D11AB" w:rsidRDefault="00D12DC6" w:rsidP="009D11AB">
      <w:pPr>
        <w:numPr>
          <w:ilvl w:val="1"/>
          <w:numId w:val="1"/>
        </w:numPr>
        <w:suppressAutoHyphens/>
        <w:autoSpaceDN w:val="0"/>
        <w:ind w:left="567" w:hanging="567"/>
        <w:jc w:val="both"/>
        <w:textAlignment w:val="baseline"/>
        <w:rPr>
          <w:sz w:val="22"/>
          <w:szCs w:val="22"/>
        </w:rPr>
      </w:pPr>
      <w:r w:rsidRPr="009D11AB">
        <w:rPr>
          <w:sz w:val="22"/>
          <w:szCs w:val="22"/>
        </w:rPr>
        <w:lastRenderedPageBreak/>
        <w:t xml:space="preserve">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w:t>
      </w:r>
      <w:proofErr w:type="spellStart"/>
      <w:r w:rsidRPr="009D11AB">
        <w:rPr>
          <w:sz w:val="22"/>
          <w:szCs w:val="22"/>
        </w:rPr>
        <w:t>epastu</w:t>
      </w:r>
      <w:proofErr w:type="spellEnd"/>
      <w:r w:rsidRPr="009D11AB">
        <w:rPr>
          <w:sz w:val="22"/>
          <w:szCs w:val="22"/>
        </w:rPr>
        <w:t xml:space="preserve">. </w:t>
      </w:r>
    </w:p>
    <w:p w14:paraId="120858F9" w14:textId="77777777" w:rsidR="00D12DC6" w:rsidRPr="009D11AB" w:rsidRDefault="00D12DC6" w:rsidP="009D11AB">
      <w:pPr>
        <w:pStyle w:val="Title"/>
        <w:spacing w:before="60" w:after="60"/>
        <w:ind w:left="567" w:hanging="567"/>
        <w:contextualSpacing w:val="0"/>
        <w:jc w:val="both"/>
        <w:rPr>
          <w:sz w:val="22"/>
          <w:szCs w:val="22"/>
        </w:rPr>
      </w:pPr>
      <w:r w:rsidRPr="009D11AB">
        <w:rPr>
          <w:sz w:val="22"/>
          <w:szCs w:val="22"/>
        </w:rPr>
        <w:t>Būvlaukuma ierīkošana</w:t>
      </w:r>
    </w:p>
    <w:p w14:paraId="654A0FF0"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Uzņēmējs nodrošina būvlaukuma aprīkojuma uzstādīšanu atbilstoši saskaņotajam Darbu organizācijas projektam vai arī par biroja telpu un noliktavu atrašanās vietu jāvienojas iepriekš ar Pasūtītāju, kā arī uzrādot to Būvlaukuma iekārtojuma plānā. Pirms darbu uzsākšanas būvlaukumā Uzņēmējam jāiesniedz Pasūtītājam rasējumi,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68068568"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Pēc būvlaukuma demontāžas Uzņēmējam ir pienākums atjaunot teritoriju (vai telpas) iepriekšējā stāvoklī.</w:t>
      </w:r>
    </w:p>
    <w:p w14:paraId="5D38C557"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Uzņēmējam ir jānodrošina un jāuztur piemērotas telpas būvlaukumā, pietiekams skaits noliktavu, rezervuāru un darbnīcu adekvātai materiālu, degvielas, iekārtu un cita aprīkojuma uzglabāšanai. Noliktavu lielumam un konstrukcijai jābūt tādai, lai nodrošinātu piemērotu materiālu, degvielas, rezerves daļu u.c. krājumu uzglabāšanu un aizsardzību tādos daudzumos, kas garantē darba procesu nepārtrauktību, un darbnīcām, ja tādas nepieciešamas, jābūt atbilstoši aprīkotām, lai varētu veikt iekārtu un aprīkojuma remontu gan iekštelpās, gan uz būvēm.</w:t>
      </w:r>
    </w:p>
    <w:p w14:paraId="65F77D49"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 xml:space="preserve">Uzņēmējs nodrošina un uztur visas nepieciešamās izmitināšanas un labklājības iespējas saviem (un sava Apakšuzņēmēja) darbiniekiem un darbaspēkam. </w:t>
      </w:r>
    </w:p>
    <w:p w14:paraId="628E3BD3"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 xml:space="preserve">Uzņēmējs nodrošina telpu/ apstākļus iknedēļas sapulču nodrošināšanai. Un darba vietu un slēdzamu skapi Pasūtītājam/Pasūtītāja pārstāvjiem. </w:t>
      </w:r>
    </w:p>
    <w:p w14:paraId="0599F37C"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Uzņēmējs savās izmaksās jāiekļauj visi izdevumi, kas varētu rasties biroja telpu vai būvlaukuma ierīkošanas un uzturēšanas vajadzībām.</w:t>
      </w:r>
    </w:p>
    <w:p w14:paraId="7E1E89C0"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Uzņēmējam Pasūtītājs jāinformē rakstiski 5 dienas iepriekš par plānoto darbu uzsākšanas datumu konkrētā Būvlaukuma teritorijā.</w:t>
      </w:r>
    </w:p>
    <w:p w14:paraId="7497834F"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p w14:paraId="73955193"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4267798D"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 xml:space="preserve">Visi pēc Uzņēmēja darbiem konstatētie, bet neiereģistrētie bojājumi un/vai defekti jānovērš un jānodrošina to sākotnējais vai labāks stāvoklis, kas būtu pieņemams Pasūtītājam, un/vai </w:t>
      </w:r>
      <w:proofErr w:type="spellStart"/>
      <w:r w:rsidRPr="009D11AB">
        <w:rPr>
          <w:sz w:val="22"/>
          <w:szCs w:val="22"/>
        </w:rPr>
        <w:t>kontrolinstitūcijām</w:t>
      </w:r>
      <w:proofErr w:type="spellEnd"/>
      <w:r w:rsidRPr="009D11AB">
        <w:rPr>
          <w:sz w:val="22"/>
          <w:szCs w:val="22"/>
        </w:rPr>
        <w:t>, uz paša Uzņēmēja rēķina.</w:t>
      </w:r>
    </w:p>
    <w:p w14:paraId="16AEE786"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Uzņēmēja jānofotografē būvlaukums pirms darbu uzsākšanas. Turpmākā darbu fotografēšana jāveic būvniecības fāzē tādos intervālos, kas atspoguļo galvenos progresa etapus.</w:t>
      </w:r>
    </w:p>
    <w:p w14:paraId="1CFFB1E7" w14:textId="77777777" w:rsidR="00D12DC6" w:rsidRPr="009D11AB" w:rsidRDefault="00D12DC6" w:rsidP="009D11AB">
      <w:pPr>
        <w:pStyle w:val="Title"/>
        <w:spacing w:before="60" w:after="60"/>
        <w:ind w:left="567" w:hanging="567"/>
        <w:contextualSpacing w:val="0"/>
        <w:jc w:val="both"/>
        <w:rPr>
          <w:sz w:val="22"/>
          <w:szCs w:val="22"/>
        </w:rPr>
      </w:pPr>
      <w:r w:rsidRPr="009D11AB">
        <w:rPr>
          <w:sz w:val="22"/>
          <w:szCs w:val="22"/>
        </w:rPr>
        <w:t>Pagaidu inženierkomunikācijas</w:t>
      </w:r>
    </w:p>
    <w:p w14:paraId="1858B4CD"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 xml:space="preserve">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p w14:paraId="1E1CD3B2" w14:textId="77777777" w:rsidR="00D12DC6" w:rsidRPr="009D11AB" w:rsidRDefault="00D12DC6" w:rsidP="009D11AB">
      <w:pPr>
        <w:pStyle w:val="ListParagraph"/>
        <w:numPr>
          <w:ilvl w:val="2"/>
          <w:numId w:val="1"/>
        </w:numPr>
        <w:ind w:left="709" w:hanging="709"/>
        <w:jc w:val="both"/>
        <w:rPr>
          <w:sz w:val="22"/>
          <w:szCs w:val="22"/>
        </w:rPr>
      </w:pPr>
      <w:r w:rsidRPr="009D11AB">
        <w:rPr>
          <w:sz w:val="22"/>
          <w:szCs w:val="22"/>
        </w:rPr>
        <w:t xml:space="preserve">Uzņēmējam jānodrošina adekvāta pārbaudīta dzeramā ūdens piegāde būvlaukumā.  Uzņēmējam jānodrošina un jāapmaksā visa ūdensapgāde (tajā skaitā pagaidu ūdens </w:t>
      </w:r>
      <w:proofErr w:type="spellStart"/>
      <w:r w:rsidRPr="009D11AB">
        <w:rPr>
          <w:sz w:val="22"/>
          <w:szCs w:val="22"/>
        </w:rPr>
        <w:t>pieslēgums</w:t>
      </w:r>
      <w:proofErr w:type="spellEnd"/>
      <w:r w:rsidRPr="009D11AB">
        <w:rPr>
          <w:sz w:val="22"/>
          <w:szCs w:val="22"/>
        </w:rPr>
        <w:t xml:space="preserve">/ vai cita </w:t>
      </w:r>
      <w:r w:rsidRPr="009D11AB">
        <w:rPr>
          <w:sz w:val="22"/>
          <w:szCs w:val="22"/>
        </w:rPr>
        <w:lastRenderedPageBreak/>
        <w:t>alternatīva ūdensapgāde), kas nepieciešama būvdarbiem, sanitārajām ietaisēm, būvlaukuma birojiem un cauruļvadu skalošanai un testēšanai.</w:t>
      </w:r>
    </w:p>
    <w:p w14:paraId="52F2287B" w14:textId="77777777" w:rsidR="00D12DC6" w:rsidRPr="009D11AB" w:rsidRDefault="00D12DC6" w:rsidP="009D11AB">
      <w:pPr>
        <w:pStyle w:val="ListParagraph"/>
        <w:numPr>
          <w:ilvl w:val="2"/>
          <w:numId w:val="1"/>
        </w:numPr>
        <w:ind w:left="709" w:hanging="709"/>
        <w:jc w:val="both"/>
        <w:rPr>
          <w:sz w:val="22"/>
          <w:szCs w:val="22"/>
        </w:rPr>
      </w:pPr>
      <w:r w:rsidRPr="009D11AB">
        <w:rPr>
          <w:sz w:val="22"/>
          <w:szCs w:val="22"/>
        </w:rPr>
        <w:t xml:space="preserve">Uzņēmējam uz sava rēķina jāpiegādā, jāuzstāda, jādarbina un jāapkopj visa elektroapgādes sistēma (tajā skaitā pagaidu elektroapgādes </w:t>
      </w:r>
      <w:proofErr w:type="spellStart"/>
      <w:r w:rsidRPr="009D11AB">
        <w:rPr>
          <w:sz w:val="22"/>
          <w:szCs w:val="22"/>
        </w:rPr>
        <w:t>pieslēgums</w:t>
      </w:r>
      <w:proofErr w:type="spellEnd"/>
      <w:r w:rsidRPr="009D11AB">
        <w:rPr>
          <w:sz w:val="22"/>
          <w:szCs w:val="22"/>
        </w:rPr>
        <w:t>), kas nepieciešama būvdarbiem, būvlaukuma birojiem un testēšanai.</w:t>
      </w:r>
      <w:r w:rsidRPr="009D11AB">
        <w:rPr>
          <w:sz w:val="22"/>
          <w:szCs w:val="22"/>
        </w:rPr>
        <w:tab/>
      </w:r>
    </w:p>
    <w:p w14:paraId="2F07E834" w14:textId="77777777" w:rsidR="00D12DC6" w:rsidRPr="009D11AB" w:rsidRDefault="00D12DC6" w:rsidP="009D11AB">
      <w:pPr>
        <w:pStyle w:val="ListParagraph"/>
        <w:numPr>
          <w:ilvl w:val="3"/>
          <w:numId w:val="1"/>
        </w:numPr>
        <w:ind w:left="1418"/>
        <w:jc w:val="both"/>
        <w:rPr>
          <w:sz w:val="22"/>
          <w:szCs w:val="22"/>
        </w:rPr>
      </w:pPr>
      <w:r w:rsidRPr="009D11AB">
        <w:rPr>
          <w:sz w:val="22"/>
          <w:szCs w:val="22"/>
        </w:rPr>
        <w:t xml:space="preserve">Ja Uzņēmējs izmanto tiešo </w:t>
      </w:r>
      <w:proofErr w:type="spellStart"/>
      <w:r w:rsidRPr="009D11AB">
        <w:rPr>
          <w:sz w:val="22"/>
          <w:szCs w:val="22"/>
        </w:rPr>
        <w:t>pieslēgumu</w:t>
      </w:r>
      <w:proofErr w:type="spellEnd"/>
      <w:r w:rsidRPr="009D11AB">
        <w:rPr>
          <w:sz w:val="22"/>
          <w:szCs w:val="22"/>
        </w:rPr>
        <w:t xml:space="preserve"> elektroenerģijas piegādātājam, tam jākārto visas formalitātes ar vietējo elektroapgādes uzņēmumu par pagaidu elektroapgādi. Uzņēmējam jāmaksā vietējam elektroapgādes uzņēmumam par visiem </w:t>
      </w:r>
      <w:proofErr w:type="spellStart"/>
      <w:r w:rsidRPr="009D11AB">
        <w:rPr>
          <w:sz w:val="22"/>
          <w:szCs w:val="22"/>
        </w:rPr>
        <w:t>pieslēgumu</w:t>
      </w:r>
      <w:proofErr w:type="spellEnd"/>
      <w:r w:rsidRPr="009D11AB">
        <w:rPr>
          <w:sz w:val="22"/>
          <w:szCs w:val="22"/>
        </w:rPr>
        <w:t xml:space="preserve"> pakalpojumiem.</w:t>
      </w:r>
    </w:p>
    <w:p w14:paraId="5D63CD7C" w14:textId="77777777" w:rsidR="00D12DC6" w:rsidRPr="009D11AB" w:rsidRDefault="00D12DC6" w:rsidP="009D11AB">
      <w:pPr>
        <w:pStyle w:val="ListParagraph"/>
        <w:numPr>
          <w:ilvl w:val="3"/>
          <w:numId w:val="1"/>
        </w:numPr>
        <w:ind w:left="1418"/>
        <w:jc w:val="both"/>
        <w:rPr>
          <w:sz w:val="22"/>
          <w:szCs w:val="22"/>
        </w:rPr>
      </w:pPr>
      <w:r w:rsidRPr="009D11AB">
        <w:rPr>
          <w:sz w:val="22"/>
          <w:szCs w:val="22"/>
        </w:rPr>
        <w:t xml:space="preserve">Ja uzņēmējs izmanto Pasūtītāja elektroapgādes tīklu infrastruktūru, tam jānodrošina sertificēta pagaidu elektroenerģijas skaitītāja uzstādīšana un jānodod elektroenerģijas patēriņa rādītāji katra mēneša pēdējā dienā. Pasūtītājs izraksta rēķinu Uzņēmējam par patērēto elektroenerģiju. </w:t>
      </w:r>
    </w:p>
    <w:p w14:paraId="58CEE988" w14:textId="77777777" w:rsidR="00D12DC6" w:rsidRPr="009D11AB" w:rsidRDefault="00D12DC6" w:rsidP="009D11AB">
      <w:pPr>
        <w:pStyle w:val="ListParagraph"/>
        <w:numPr>
          <w:ilvl w:val="3"/>
          <w:numId w:val="1"/>
        </w:numPr>
        <w:ind w:left="1418"/>
        <w:jc w:val="both"/>
        <w:rPr>
          <w:sz w:val="22"/>
          <w:szCs w:val="22"/>
        </w:rPr>
      </w:pPr>
      <w:r w:rsidRPr="009D11AB">
        <w:rPr>
          <w:sz w:val="22"/>
          <w:szCs w:val="22"/>
        </w:rPr>
        <w:t xml:space="preserve">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w:t>
      </w:r>
      <w:proofErr w:type="spellStart"/>
      <w:r w:rsidRPr="009D11AB">
        <w:rPr>
          <w:sz w:val="22"/>
          <w:szCs w:val="22"/>
        </w:rPr>
        <w:t>motorģeneratoru</w:t>
      </w:r>
      <w:proofErr w:type="spellEnd"/>
      <w:r w:rsidRPr="009D11AB">
        <w:rPr>
          <w:sz w:val="22"/>
          <w:szCs w:val="22"/>
        </w:rPr>
        <w:t xml:space="preserve"> stacijas, šīm stacijām jābūt akustiski izolētām ar īpašiem nožogojumiem no blakusesošajām dzīvojamām mājām. Visām elektroiekārtām, kas ietilpst pagaidu būvēs, jāatbilst aktuālajiem noteikumiem.</w:t>
      </w:r>
    </w:p>
    <w:p w14:paraId="14E1FE4B" w14:textId="77777777" w:rsidR="00D12DC6" w:rsidRPr="009D11AB" w:rsidRDefault="00D12DC6" w:rsidP="009D11AB">
      <w:pPr>
        <w:pStyle w:val="ListParagraph"/>
        <w:numPr>
          <w:ilvl w:val="2"/>
          <w:numId w:val="1"/>
        </w:numPr>
        <w:ind w:left="709" w:hanging="709"/>
        <w:jc w:val="both"/>
        <w:rPr>
          <w:sz w:val="22"/>
          <w:szCs w:val="22"/>
        </w:rPr>
      </w:pPr>
      <w:r w:rsidRPr="009D11AB">
        <w:rPr>
          <w:sz w:val="22"/>
          <w:szCs w:val="22"/>
        </w:rPr>
        <w:t>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3CE54EB3" w14:textId="77777777" w:rsidR="00D12DC6" w:rsidRPr="009D11AB" w:rsidRDefault="00D12DC6" w:rsidP="009D11AB">
      <w:pPr>
        <w:pStyle w:val="ListParagraph"/>
        <w:numPr>
          <w:ilvl w:val="2"/>
          <w:numId w:val="1"/>
        </w:numPr>
        <w:ind w:left="709" w:hanging="709"/>
        <w:jc w:val="both"/>
        <w:rPr>
          <w:sz w:val="22"/>
          <w:szCs w:val="22"/>
        </w:rPr>
      </w:pPr>
      <w:r w:rsidRPr="009D11AB">
        <w:rPr>
          <w:sz w:val="22"/>
          <w:szCs w:val="22"/>
        </w:rPr>
        <w:t>Ja Uzņēmējs izmanto siltumapgādes resursus Pasūtītāja telpām, pirms darbu uzsākšanas Pasūtītājs vienojas par konkrēta tarifa piemērošanu attiecībā pret izmantojamo telpu platību, proporcionāli aprēķinot pēc kopējā ēkas siltumapgādes patēriņa, izrakstot rēķinu Uzņēmējam reizi mēnesī.</w:t>
      </w:r>
    </w:p>
    <w:p w14:paraId="4408FF7F" w14:textId="77777777" w:rsidR="00D12DC6" w:rsidRPr="009D11AB" w:rsidRDefault="00D12DC6" w:rsidP="009D11AB">
      <w:pPr>
        <w:pStyle w:val="ListParagraph"/>
        <w:numPr>
          <w:ilvl w:val="1"/>
          <w:numId w:val="1"/>
        </w:numPr>
        <w:ind w:left="567" w:hanging="567"/>
        <w:jc w:val="both"/>
        <w:rPr>
          <w:sz w:val="22"/>
          <w:szCs w:val="22"/>
        </w:rPr>
      </w:pPr>
      <w:r w:rsidRPr="009D11AB">
        <w:rPr>
          <w:sz w:val="22"/>
          <w:szCs w:val="22"/>
        </w:rPr>
        <w:t>Pēc darbu pabeigšanas vai gadījumā, ja pagaidu ietaises vairs nav nepieciešamas, Uzņēmējam tās jānojauc un būvlaukums jāsakārto atbilstoši tā sākotnējam stāvoklim. Visas ar pagaidu ietaisēm, t.sk., bet ne ierobežojoši, instalāciju apkopi, pārvietošanu un aizvākšanu, saistītās izmaksas jāuzņemas Uzņēmējam.</w:t>
      </w:r>
    </w:p>
    <w:p w14:paraId="3F752E1D" w14:textId="77777777" w:rsidR="00D12DC6" w:rsidRPr="009D11AB" w:rsidRDefault="00D12DC6" w:rsidP="009D11AB">
      <w:pPr>
        <w:pStyle w:val="Subtitle"/>
        <w:spacing w:before="60" w:after="60"/>
        <w:ind w:left="567" w:hanging="567"/>
        <w:contextualSpacing w:val="0"/>
        <w:rPr>
          <w:sz w:val="22"/>
        </w:rPr>
      </w:pPr>
      <w:r w:rsidRPr="009D11AB">
        <w:rPr>
          <w:sz w:val="22"/>
        </w:rPr>
        <w:t>Būvlaukuma tīrība:</w:t>
      </w:r>
    </w:p>
    <w:p w14:paraId="0D76F138"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Uzņēmējam netiks piedāvāti laukumi atkritumu ievietošanai, un viņam jāorganizē rakšanas atkritumu izvietošanas iespējas uz paša rēķina. Neatļauta atkritumu izvietošana nav pieļaujama</w:t>
      </w:r>
    </w:p>
    <w:p w14:paraId="2710AD4A"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0B57BD68"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 xml:space="preserve">Labiekārtošanai piemērotais materiāls jāsakrauj kaudzēs būvlaukumā. 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4009EA9D"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Uzņēmējam būvlaukumā jāuzstāda atsevišķi konteineri bīstamajiem atkritumiem, ja tādi rodas būvdarbu procesā.</w:t>
      </w:r>
    </w:p>
    <w:p w14:paraId="577A6CD7"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 xml:space="preserve">Ja Pasūtītāja ieskatā būvlaukums netiek uzturēts atbilstošā kārtībā, tam ir tiesības rakstiski to norādīt Uzņēmējam un tam ir pienākums 2 dienu laikā izpildīt Pasūtītāja norādīto. </w:t>
      </w:r>
    </w:p>
    <w:p w14:paraId="4FA09235"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p w14:paraId="5E15D4F1"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Būvdarbu gaitā uz tīrās grīdas nedrīkst novietot un atstāt priekšmetus/atgriezumus</w:t>
      </w:r>
    </w:p>
    <w:p w14:paraId="06970BA7"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 xml:space="preserve">Smēķēt atļauts tikai objektā atsevišķi paredzētā smēķētāju zonā, kur ierīkojams pelnu trauks, kas regulāri tiek iztīrīts. </w:t>
      </w:r>
    </w:p>
    <w:p w14:paraId="6BA6C0EF"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Brīdī, kad objektā ir ierīkota apdare (konkrēts brīdis saskaņojams atsevišķi), Uzņēmēja pienākums ir nodrošināt maiņas apavu/</w:t>
      </w:r>
      <w:proofErr w:type="spellStart"/>
      <w:r w:rsidRPr="009D11AB">
        <w:rPr>
          <w:sz w:val="22"/>
          <w:szCs w:val="22"/>
        </w:rPr>
        <w:t>bahilu</w:t>
      </w:r>
      <w:proofErr w:type="spellEnd"/>
      <w:r w:rsidRPr="009D11AB">
        <w:rPr>
          <w:sz w:val="22"/>
          <w:szCs w:val="22"/>
        </w:rPr>
        <w:t xml:space="preserve"> obligātu lietošanu.</w:t>
      </w:r>
    </w:p>
    <w:p w14:paraId="774484A9"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 xml:space="preserve">Pēc būvdarbu pabeigšanas un testēšanas Uzņēmējam  jāaizvāc visi būvgruži un liekie materiāli (t.sk. visas pagaidu konstrukcijas, brīdinājumu zīmes, instrumenti, sastatnes, materiāli, izejvielas </w:t>
      </w:r>
      <w:r w:rsidRPr="009D11AB">
        <w:rPr>
          <w:sz w:val="22"/>
          <w:szCs w:val="22"/>
        </w:rPr>
        <w:lastRenderedPageBreak/>
        <w:t xml:space="preserve">un celtniecības mašīnas vai aprīkojums, ko Uzņēmējs vai kāds no viņa apakšuzņēmējiem izmantojuši darbu veikšanai) no būvlaukuma un tā apkārtnes. Uzņēmējam jāuzkopj visas būves un jāatstāj būvlaukums labā kārtībā. Uzņēmējam ir pienākums sagatavot visas telpas, iekārtas un inventāru ekspluatācijai – iztīrīt no visiem gružiem, netīrumiem un putekļiem, kas radušies būvniecības procesā, veicot objekta </w:t>
      </w:r>
      <w:proofErr w:type="spellStart"/>
      <w:r w:rsidRPr="009D11AB">
        <w:rPr>
          <w:sz w:val="22"/>
          <w:szCs w:val="22"/>
        </w:rPr>
        <w:t>ģenerāltīrīšanu</w:t>
      </w:r>
      <w:proofErr w:type="spellEnd"/>
      <w:r w:rsidRPr="009D11AB">
        <w:rPr>
          <w:sz w:val="22"/>
          <w:szCs w:val="22"/>
        </w:rPr>
        <w:t>.</w:t>
      </w:r>
    </w:p>
    <w:p w14:paraId="1AA240B5" w14:textId="77777777" w:rsidR="00D12DC6" w:rsidRPr="009D11AB" w:rsidRDefault="00D12DC6" w:rsidP="009D11AB">
      <w:pPr>
        <w:pStyle w:val="ListParagraph"/>
        <w:numPr>
          <w:ilvl w:val="2"/>
          <w:numId w:val="1"/>
        </w:numPr>
        <w:ind w:left="709"/>
        <w:jc w:val="both"/>
        <w:rPr>
          <w:sz w:val="22"/>
          <w:szCs w:val="22"/>
        </w:rPr>
      </w:pPr>
      <w:r w:rsidRPr="009D11AB">
        <w:rPr>
          <w:sz w:val="22"/>
          <w:szCs w:val="22"/>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4268B380" w14:textId="77777777" w:rsidR="00D12DC6" w:rsidRPr="009D11AB" w:rsidRDefault="00D12DC6" w:rsidP="009D11AB">
      <w:pPr>
        <w:pStyle w:val="Subtitle"/>
        <w:spacing w:before="60" w:after="60"/>
        <w:ind w:left="567" w:hanging="567"/>
        <w:contextualSpacing w:val="0"/>
        <w:rPr>
          <w:sz w:val="22"/>
        </w:rPr>
      </w:pPr>
      <w:r w:rsidRPr="009D11AB">
        <w:rPr>
          <w:sz w:val="22"/>
        </w:rPr>
        <w:t>Esošās komunikācijas</w:t>
      </w:r>
    </w:p>
    <w:p w14:paraId="6D1EB5CA" w14:textId="77777777" w:rsidR="00D12DC6" w:rsidRPr="009D11AB" w:rsidRDefault="00D12DC6" w:rsidP="009D11AB">
      <w:pPr>
        <w:pStyle w:val="ListParagraph"/>
        <w:numPr>
          <w:ilvl w:val="2"/>
          <w:numId w:val="1"/>
        </w:numPr>
        <w:autoSpaceDE w:val="0"/>
        <w:autoSpaceDN w:val="0"/>
        <w:adjustRightInd w:val="0"/>
        <w:ind w:left="709"/>
        <w:jc w:val="both"/>
        <w:rPr>
          <w:sz w:val="22"/>
          <w:szCs w:val="22"/>
        </w:rPr>
      </w:pPr>
      <w:r w:rsidRPr="009D11AB">
        <w:rPr>
          <w:sz w:val="22"/>
          <w:szCs w:val="22"/>
        </w:rPr>
        <w:t>Gadījumā, ja Uzņēmēja vainas dēļ tiek bojātas ūdens, kanalizācijas, elektrības vai telefona instalācijas (neatkarīgi no to marķējuma), Uzņēmējam nekavējoties jāinformē attiecīgā institūcija, nosūtot paziņojuma kopiju Pasūtītājam.</w:t>
      </w:r>
    </w:p>
    <w:p w14:paraId="4E3102FD" w14:textId="77777777" w:rsidR="00D12DC6" w:rsidRPr="009D11AB" w:rsidRDefault="00D12DC6" w:rsidP="009D11AB">
      <w:pPr>
        <w:pStyle w:val="ListParagraph"/>
        <w:numPr>
          <w:ilvl w:val="2"/>
          <w:numId w:val="1"/>
        </w:numPr>
        <w:autoSpaceDE w:val="0"/>
        <w:autoSpaceDN w:val="0"/>
        <w:adjustRightInd w:val="0"/>
        <w:ind w:left="709"/>
        <w:jc w:val="both"/>
        <w:rPr>
          <w:sz w:val="22"/>
          <w:szCs w:val="22"/>
        </w:rPr>
      </w:pPr>
      <w:r w:rsidRPr="009D11AB">
        <w:rPr>
          <w:sz w:val="22"/>
          <w:szCs w:val="22"/>
        </w:rPr>
        <w:t>Jebkuri Uzņēmēja izraisīti bojājumi esošajās komunikācijās jāsalabo līdz sākotnējam vai labākam stāvoklim par Uzņēmēja līdzekļiem.</w:t>
      </w:r>
    </w:p>
    <w:p w14:paraId="16E87BC5" w14:textId="77777777" w:rsidR="00D12DC6" w:rsidRPr="009D11AB" w:rsidRDefault="00D12DC6" w:rsidP="009D11AB">
      <w:pPr>
        <w:pStyle w:val="Subtitle"/>
        <w:spacing w:before="60" w:after="60"/>
        <w:ind w:left="567" w:hanging="567"/>
        <w:contextualSpacing w:val="0"/>
        <w:rPr>
          <w:rFonts w:eastAsia="Calibri"/>
          <w:sz w:val="22"/>
        </w:rPr>
      </w:pPr>
      <w:r w:rsidRPr="009D11AB">
        <w:rPr>
          <w:rFonts w:eastAsia="Calibri"/>
          <w:sz w:val="22"/>
        </w:rPr>
        <w:t>Demontāžas darbi</w:t>
      </w:r>
    </w:p>
    <w:p w14:paraId="6FE0ECAF" w14:textId="77777777" w:rsidR="00D12DC6" w:rsidRPr="009D11AB" w:rsidRDefault="00D12DC6" w:rsidP="009D11AB">
      <w:pPr>
        <w:numPr>
          <w:ilvl w:val="2"/>
          <w:numId w:val="1"/>
        </w:numPr>
        <w:ind w:left="709"/>
        <w:jc w:val="both"/>
        <w:rPr>
          <w:rFonts w:eastAsia="Calibri"/>
          <w:sz w:val="22"/>
          <w:szCs w:val="22"/>
        </w:rPr>
      </w:pPr>
      <w:r w:rsidRPr="009D11AB">
        <w:rPr>
          <w:rFonts w:eastAsia="Calibri"/>
          <w:sz w:val="22"/>
          <w:szCs w:val="22"/>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4C66C863" w14:textId="77777777" w:rsidR="00D12DC6" w:rsidRPr="009D11AB" w:rsidRDefault="00D12DC6" w:rsidP="009D11AB">
      <w:pPr>
        <w:pStyle w:val="Subtitle"/>
        <w:spacing w:before="60" w:after="60"/>
        <w:ind w:left="567" w:hanging="567"/>
        <w:contextualSpacing w:val="0"/>
        <w:rPr>
          <w:rFonts w:eastAsia="Calibri"/>
          <w:sz w:val="22"/>
        </w:rPr>
      </w:pPr>
      <w:r w:rsidRPr="009D11AB">
        <w:rPr>
          <w:rFonts w:eastAsia="Calibri"/>
          <w:sz w:val="22"/>
        </w:rPr>
        <w:t>Plaisu monitorings</w:t>
      </w:r>
    </w:p>
    <w:p w14:paraId="1E22558F" w14:textId="77777777" w:rsidR="00D12DC6" w:rsidRPr="009D11AB" w:rsidRDefault="00D12DC6" w:rsidP="009D11AB">
      <w:pPr>
        <w:numPr>
          <w:ilvl w:val="2"/>
          <w:numId w:val="1"/>
        </w:numPr>
        <w:ind w:left="709"/>
        <w:jc w:val="both"/>
        <w:rPr>
          <w:rFonts w:eastAsia="Calibri"/>
          <w:sz w:val="22"/>
          <w:szCs w:val="22"/>
        </w:rPr>
      </w:pPr>
      <w:r w:rsidRPr="009D11AB">
        <w:rPr>
          <w:rFonts w:eastAsia="Calibri"/>
          <w:sz w:val="22"/>
          <w:szCs w:val="22"/>
        </w:rPr>
        <w:t xml:space="preserve">Veicot nesošo konstrukciju izbūves darbus, paredzēt ēkai nesošo konstrukciju plaisu reālā laika monitoringu. Monitoringa programmu saskaņot ar </w:t>
      </w:r>
      <w:proofErr w:type="spellStart"/>
      <w:r w:rsidRPr="009D11AB">
        <w:rPr>
          <w:rFonts w:eastAsia="Calibri"/>
          <w:sz w:val="22"/>
          <w:szCs w:val="22"/>
        </w:rPr>
        <w:t>autoruzraugu</w:t>
      </w:r>
      <w:proofErr w:type="spellEnd"/>
      <w:r w:rsidRPr="009D11AB">
        <w:rPr>
          <w:rFonts w:eastAsia="Calibri"/>
          <w:sz w:val="22"/>
          <w:szCs w:val="22"/>
        </w:rPr>
        <w:t>, būvuzraugu un Pasūtītāju.</w:t>
      </w:r>
    </w:p>
    <w:p w14:paraId="26390F64" w14:textId="77777777" w:rsidR="00D12DC6" w:rsidRPr="009D11AB" w:rsidRDefault="00D12DC6" w:rsidP="009D11AB">
      <w:pPr>
        <w:pStyle w:val="Subtitle"/>
        <w:spacing w:before="60" w:after="60"/>
        <w:ind w:left="567" w:hanging="567"/>
        <w:contextualSpacing w:val="0"/>
        <w:rPr>
          <w:sz w:val="22"/>
        </w:rPr>
      </w:pPr>
      <w:r w:rsidRPr="009D11AB">
        <w:rPr>
          <w:sz w:val="22"/>
        </w:rPr>
        <w:t>Atkārtoti izmantojamu vai pārstrādājamu atkritumu uzglabāšana</w:t>
      </w:r>
    </w:p>
    <w:p w14:paraId="76102AE5" w14:textId="77777777" w:rsidR="00D12DC6" w:rsidRPr="009D11AB" w:rsidRDefault="00D12DC6" w:rsidP="009D11AB">
      <w:pPr>
        <w:pStyle w:val="ListParagraph"/>
        <w:numPr>
          <w:ilvl w:val="2"/>
          <w:numId w:val="1"/>
        </w:numPr>
        <w:tabs>
          <w:tab w:val="left" w:pos="993"/>
        </w:tabs>
        <w:ind w:left="709"/>
        <w:contextualSpacing w:val="0"/>
        <w:jc w:val="both"/>
        <w:rPr>
          <w:sz w:val="22"/>
          <w:szCs w:val="22"/>
        </w:rPr>
      </w:pPr>
      <w:r w:rsidRPr="009D11AB">
        <w:rPr>
          <w:sz w:val="22"/>
          <w:szCs w:val="22"/>
        </w:rPr>
        <w:t xml:space="preserve">Uzņēmējs būvobjektā nodrošina </w:t>
      </w:r>
      <w:proofErr w:type="spellStart"/>
      <w:r w:rsidRPr="009D11AB">
        <w:rPr>
          <w:sz w:val="22"/>
          <w:szCs w:val="22"/>
        </w:rPr>
        <w:t>pārstrādājamu</w:t>
      </w:r>
      <w:proofErr w:type="spellEnd"/>
      <w:r w:rsidRPr="009D11AB">
        <w:rPr>
          <w:sz w:val="22"/>
          <w:szCs w:val="22"/>
        </w:rPr>
        <w:t xml:space="preserve"> </w:t>
      </w:r>
      <w:proofErr w:type="spellStart"/>
      <w:r w:rsidRPr="009D11AB">
        <w:rPr>
          <w:sz w:val="22"/>
          <w:szCs w:val="22"/>
        </w:rPr>
        <w:t>materiālu</w:t>
      </w:r>
      <w:proofErr w:type="spellEnd"/>
      <w:r w:rsidRPr="009D11AB">
        <w:rPr>
          <w:sz w:val="22"/>
          <w:szCs w:val="22"/>
        </w:rPr>
        <w:t xml:space="preserve"> </w:t>
      </w:r>
      <w:proofErr w:type="spellStart"/>
      <w:r w:rsidRPr="009D11AB">
        <w:rPr>
          <w:sz w:val="22"/>
          <w:szCs w:val="22"/>
        </w:rPr>
        <w:t>šķirošanu</w:t>
      </w:r>
      <w:proofErr w:type="spellEnd"/>
      <w:r w:rsidRPr="009D11AB">
        <w:rPr>
          <w:sz w:val="22"/>
          <w:szCs w:val="22"/>
        </w:rPr>
        <w:t xml:space="preserve">. Darbu veikšanas projektā atbilstoši būvdarbu veidam Uzņēmējs norāda šķirojamos atkritumus (piemēram, </w:t>
      </w:r>
      <w:proofErr w:type="spellStart"/>
      <w:r w:rsidRPr="009D11AB">
        <w:rPr>
          <w:sz w:val="22"/>
          <w:szCs w:val="22"/>
        </w:rPr>
        <w:t>kokmateriāli</w:t>
      </w:r>
      <w:proofErr w:type="spellEnd"/>
      <w:r w:rsidRPr="009D11AB">
        <w:rPr>
          <w:sz w:val="22"/>
          <w:szCs w:val="22"/>
        </w:rPr>
        <w:t xml:space="preserve">, stikla, </w:t>
      </w:r>
      <w:proofErr w:type="spellStart"/>
      <w:r w:rsidRPr="009D11AB">
        <w:rPr>
          <w:sz w:val="22"/>
          <w:szCs w:val="22"/>
        </w:rPr>
        <w:t>metāla</w:t>
      </w:r>
      <w:proofErr w:type="spellEnd"/>
      <w:r w:rsidRPr="009D11AB">
        <w:rPr>
          <w:sz w:val="22"/>
          <w:szCs w:val="22"/>
        </w:rPr>
        <w:t xml:space="preserve">, </w:t>
      </w:r>
      <w:proofErr w:type="spellStart"/>
      <w:r w:rsidRPr="009D11AB">
        <w:rPr>
          <w:sz w:val="22"/>
          <w:szCs w:val="22"/>
        </w:rPr>
        <w:t>ķieģeļu</w:t>
      </w:r>
      <w:proofErr w:type="spellEnd"/>
      <w:r w:rsidRPr="009D11AB">
        <w:rPr>
          <w:sz w:val="22"/>
          <w:szCs w:val="22"/>
        </w:rPr>
        <w:t xml:space="preserve">, akmens, keramikas un betona </w:t>
      </w:r>
      <w:proofErr w:type="spellStart"/>
      <w:r w:rsidRPr="009D11AB">
        <w:rPr>
          <w:sz w:val="22"/>
          <w:szCs w:val="22"/>
        </w:rPr>
        <w:t>materiāli</w:t>
      </w:r>
      <w:proofErr w:type="spellEnd"/>
      <w:r w:rsidRPr="009D11AB">
        <w:rPr>
          <w:sz w:val="22"/>
          <w:szCs w:val="22"/>
        </w:rPr>
        <w:t xml:space="preserve">, ko </w:t>
      </w:r>
      <w:proofErr w:type="spellStart"/>
      <w:r w:rsidRPr="009D11AB">
        <w:rPr>
          <w:sz w:val="22"/>
          <w:szCs w:val="22"/>
        </w:rPr>
        <w:t>atgūst</w:t>
      </w:r>
      <w:proofErr w:type="spellEnd"/>
      <w:r w:rsidRPr="009D11AB">
        <w:rPr>
          <w:sz w:val="22"/>
          <w:szCs w:val="22"/>
        </w:rPr>
        <w:t xml:space="preserve"> no ēkas </w:t>
      </w:r>
      <w:proofErr w:type="spellStart"/>
      <w:r w:rsidRPr="009D11AB">
        <w:rPr>
          <w:sz w:val="22"/>
          <w:szCs w:val="22"/>
        </w:rPr>
        <w:t>galvenajām</w:t>
      </w:r>
      <w:proofErr w:type="spellEnd"/>
      <w:r w:rsidRPr="009D11AB">
        <w:rPr>
          <w:sz w:val="22"/>
          <w:szCs w:val="22"/>
        </w:rPr>
        <w:t xml:space="preserve"> </w:t>
      </w:r>
      <w:proofErr w:type="spellStart"/>
      <w:r w:rsidRPr="009D11AB">
        <w:rPr>
          <w:sz w:val="22"/>
          <w:szCs w:val="22"/>
        </w:rPr>
        <w:t>konstrukcijām</w:t>
      </w:r>
      <w:proofErr w:type="spellEnd"/>
      <w:r w:rsidRPr="009D11AB">
        <w:rPr>
          <w:sz w:val="22"/>
          <w:szCs w:val="22"/>
        </w:rPr>
        <w:t xml:space="preserve">), norāda vietu atkritumu </w:t>
      </w:r>
      <w:proofErr w:type="spellStart"/>
      <w:r w:rsidRPr="009D11AB">
        <w:rPr>
          <w:sz w:val="22"/>
          <w:szCs w:val="22"/>
        </w:rPr>
        <w:t>šķirošanai</w:t>
      </w:r>
      <w:proofErr w:type="spellEnd"/>
      <w:r w:rsidRPr="009D11AB">
        <w:rPr>
          <w:sz w:val="22"/>
          <w:szCs w:val="22"/>
        </w:rPr>
        <w:t xml:space="preserve"> un </w:t>
      </w:r>
      <w:proofErr w:type="spellStart"/>
      <w:r w:rsidRPr="009D11AB">
        <w:rPr>
          <w:sz w:val="22"/>
          <w:szCs w:val="22"/>
        </w:rPr>
        <w:t>savākšanai</w:t>
      </w:r>
      <w:proofErr w:type="spellEnd"/>
      <w:r w:rsidRPr="009D11AB">
        <w:rPr>
          <w:sz w:val="22"/>
          <w:szCs w:val="22"/>
        </w:rPr>
        <w:t xml:space="preserve">, kā arī pēc Pasūtītāja pieprasījuma iesniedz izziņas vai pavadzīmes un </w:t>
      </w:r>
      <w:proofErr w:type="spellStart"/>
      <w:r w:rsidRPr="009D11AB">
        <w:rPr>
          <w:sz w:val="22"/>
          <w:szCs w:val="22"/>
        </w:rPr>
        <w:t>faktūrrēķinus</w:t>
      </w:r>
      <w:proofErr w:type="spellEnd"/>
      <w:r w:rsidRPr="009D11AB">
        <w:rPr>
          <w:sz w:val="22"/>
          <w:szCs w:val="22"/>
        </w:rPr>
        <w:t xml:space="preserve">, kas apliecina atkritumu atbilstošu nodošanu. </w:t>
      </w:r>
    </w:p>
    <w:p w14:paraId="654A7C8A" w14:textId="77777777" w:rsidR="00D12DC6" w:rsidRPr="009D11AB" w:rsidRDefault="00D12DC6" w:rsidP="009D11AB">
      <w:pPr>
        <w:pStyle w:val="Title"/>
        <w:spacing w:before="60" w:after="60"/>
        <w:ind w:left="567" w:hanging="567"/>
        <w:contextualSpacing w:val="0"/>
        <w:jc w:val="both"/>
        <w:rPr>
          <w:sz w:val="22"/>
          <w:szCs w:val="22"/>
        </w:rPr>
      </w:pPr>
      <w:r w:rsidRPr="009D11AB">
        <w:rPr>
          <w:sz w:val="22"/>
          <w:szCs w:val="22"/>
        </w:rPr>
        <w:t>Kvalitātes kontroles sistēma</w:t>
      </w:r>
    </w:p>
    <w:p w14:paraId="7598A2F4" w14:textId="77777777" w:rsidR="00D12DC6" w:rsidRPr="009D11AB" w:rsidRDefault="00D12DC6" w:rsidP="009D11AB">
      <w:pPr>
        <w:pStyle w:val="Subtitle"/>
        <w:ind w:left="709" w:hanging="709"/>
        <w:rPr>
          <w:b w:val="0"/>
          <w:bCs w:val="0"/>
          <w:sz w:val="22"/>
        </w:rPr>
      </w:pPr>
      <w:r w:rsidRPr="009D11AB">
        <w:rPr>
          <w:b w:val="0"/>
          <w:bCs w:val="0"/>
          <w:sz w:val="22"/>
        </w:rPr>
        <w:t xml:space="preserve">Uzņēmējam jāizstrādā būvdarbu kvalitātes kontroles sistēma </w:t>
      </w:r>
      <w:r w:rsidRPr="009D11AB">
        <w:rPr>
          <w:rFonts w:eastAsia="Calibri"/>
          <w:b w:val="0"/>
          <w:bCs w:val="0"/>
          <w:sz w:val="22"/>
        </w:rPr>
        <w:t>tehniskās specifikācijas pielikumā norādītajām rekomendācijām (rekomendācijās norādītās vēlamās prasības ir uzņēmējam obligātas)</w:t>
      </w:r>
      <w:r w:rsidRPr="009D11AB">
        <w:rPr>
          <w:b w:val="0"/>
          <w:bCs w:val="0"/>
          <w:sz w:val="22"/>
        </w:rPr>
        <w:t xml:space="preserve">. Kvalitātes kontroles sistēmai jānodrošina būtiskas būvei izvirzītās prasības saskaņā ar Būvniecības likuma 9. pantu, LVS EN 1990 </w:t>
      </w:r>
      <w:proofErr w:type="spellStart"/>
      <w:r w:rsidRPr="009D11AB">
        <w:rPr>
          <w:b w:val="0"/>
          <w:bCs w:val="0"/>
          <w:sz w:val="22"/>
        </w:rPr>
        <w:t>Eirokodekss</w:t>
      </w:r>
      <w:proofErr w:type="spellEnd"/>
      <w:r w:rsidRPr="009D11AB">
        <w:rPr>
          <w:b w:val="0"/>
          <w:bCs w:val="0"/>
          <w:sz w:val="22"/>
        </w:rPr>
        <w:t xml:space="preserve"> “Konstrukciju projektēšanas pamati”, LR būvnormatīviem. </w:t>
      </w:r>
    </w:p>
    <w:p w14:paraId="7BB06F43" w14:textId="77777777" w:rsidR="00D12DC6" w:rsidRPr="009D11AB" w:rsidRDefault="00D12DC6" w:rsidP="009D11AB">
      <w:pPr>
        <w:pStyle w:val="Subtitle"/>
        <w:ind w:left="709" w:hanging="709"/>
        <w:rPr>
          <w:b w:val="0"/>
          <w:bCs w:val="0"/>
          <w:sz w:val="22"/>
        </w:rPr>
      </w:pPr>
      <w:r w:rsidRPr="009D11AB">
        <w:rPr>
          <w:b w:val="0"/>
          <w:bCs w:val="0"/>
          <w:sz w:val="22"/>
        </w:rPr>
        <w:t xml:space="preserve">Ja tehniskajā specifikācijā nav minētas atsauces uz piemērojamiem standartiem un to sasniedzamajiem kritērijiem, tad saskaņā ar preču un pakalpojumu drošuma likumu to drošumu un kvalitāti jāvērtē ņemot vērā: </w:t>
      </w:r>
    </w:p>
    <w:p w14:paraId="3AA94AA9"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 xml:space="preserve">Brīvprātīgos standartus; </w:t>
      </w:r>
    </w:p>
    <w:p w14:paraId="0BA20FD6"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 xml:space="preserve">Speciālajos attiecīgās nozares normatīvajos aktos noteiktos obligāti piemērojamos nacionālos standartus; </w:t>
      </w:r>
    </w:p>
    <w:p w14:paraId="6346416F"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 xml:space="preserve">Eiropas Komisijas rekomendācijas, kas nosaka preču drošuma novērtēšanas vadlīnijas; </w:t>
      </w:r>
    </w:p>
    <w:p w14:paraId="19491E1C"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 xml:space="preserve">Attiecīgajā nozarē pastāvošo labu ražošanas praksi; </w:t>
      </w:r>
    </w:p>
    <w:p w14:paraId="2514E965"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 xml:space="preserve">Sasniegto zinātnes un tehnikas līmeni; </w:t>
      </w:r>
    </w:p>
    <w:p w14:paraId="2E4A9DA3"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Drošumu, ar kādu Pasūtītājs varētu pamatoti rēķināties ekspluatācijas laikā</w:t>
      </w:r>
    </w:p>
    <w:p w14:paraId="7F8E36CD" w14:textId="77777777" w:rsidR="00D12DC6" w:rsidRPr="009D11AB" w:rsidRDefault="00D12DC6" w:rsidP="009D11AB">
      <w:pPr>
        <w:pStyle w:val="ListParagraph"/>
        <w:numPr>
          <w:ilvl w:val="2"/>
          <w:numId w:val="3"/>
        </w:numPr>
        <w:ind w:left="1134" w:hanging="425"/>
        <w:jc w:val="both"/>
        <w:rPr>
          <w:b/>
          <w:bCs/>
          <w:sz w:val="22"/>
          <w:szCs w:val="22"/>
        </w:rPr>
      </w:pPr>
      <w:r w:rsidRPr="009D11AB">
        <w:rPr>
          <w:sz w:val="22"/>
          <w:szCs w:val="22"/>
        </w:rPr>
        <w:t>Veicot kvalitātes kontroli jālieto LR spēkā esošie standarti un normatīvie dokumenti.</w:t>
      </w:r>
    </w:p>
    <w:p w14:paraId="0DD94658" w14:textId="77777777" w:rsidR="00D12DC6" w:rsidRPr="009D11AB" w:rsidRDefault="00D12DC6" w:rsidP="009D11AB">
      <w:pPr>
        <w:pStyle w:val="Title"/>
        <w:spacing w:before="60" w:after="60"/>
        <w:ind w:left="567" w:hanging="567"/>
        <w:contextualSpacing w:val="0"/>
        <w:jc w:val="both"/>
        <w:rPr>
          <w:rFonts w:eastAsia="Calibri"/>
          <w:sz w:val="22"/>
          <w:szCs w:val="22"/>
        </w:rPr>
      </w:pPr>
      <w:r w:rsidRPr="009D11AB">
        <w:rPr>
          <w:rFonts w:eastAsia="Calibri"/>
          <w:sz w:val="22"/>
          <w:szCs w:val="22"/>
        </w:rPr>
        <w:t>Darbu uzsākšana</w:t>
      </w:r>
    </w:p>
    <w:p w14:paraId="636C58C9" w14:textId="77777777" w:rsidR="00D12DC6" w:rsidRPr="009D11AB" w:rsidRDefault="00D12DC6" w:rsidP="009D11AB">
      <w:pPr>
        <w:pStyle w:val="ListParagraph"/>
        <w:numPr>
          <w:ilvl w:val="1"/>
          <w:numId w:val="1"/>
        </w:numPr>
        <w:spacing w:after="120"/>
        <w:ind w:right="-99" w:hanging="720"/>
        <w:jc w:val="both"/>
        <w:rPr>
          <w:sz w:val="22"/>
          <w:szCs w:val="22"/>
        </w:rPr>
      </w:pPr>
      <w:r w:rsidRPr="009D11AB">
        <w:rPr>
          <w:sz w:val="22"/>
          <w:szCs w:val="22"/>
        </w:rPr>
        <w:t>Uzņēmējam jānodrošina, ka līguma izpildē tiks ievērotas darba aizsardzības prasības saskaņā ar Ministru kabineta 2003. gada 25. februāra noteikumiem Nr.92 „Darba aizsardzības prasības veicot būvdarbus”, kā arī saskaņā ar Tehniskās specifikācijas pielikumu. Par darba aizsardzības prasības neievērošanu Uzņēmējam tiks piemērotas soda sankcijas atbilstoši tehniskās specifikācijas pielikumam.</w:t>
      </w:r>
    </w:p>
    <w:p w14:paraId="4E970769" w14:textId="77777777" w:rsidR="00D12DC6" w:rsidRPr="009D11AB" w:rsidRDefault="00D12DC6" w:rsidP="009D11AB">
      <w:pPr>
        <w:pStyle w:val="ListParagraph"/>
        <w:numPr>
          <w:ilvl w:val="1"/>
          <w:numId w:val="1"/>
        </w:numPr>
        <w:ind w:hanging="720"/>
        <w:jc w:val="both"/>
        <w:rPr>
          <w:sz w:val="22"/>
          <w:szCs w:val="22"/>
        </w:rPr>
      </w:pPr>
      <w:r w:rsidRPr="009D11AB">
        <w:rPr>
          <w:sz w:val="22"/>
          <w:szCs w:val="22"/>
        </w:rPr>
        <w:lastRenderedPageBreak/>
        <w:t xml:space="preserve">Nepieciešamības gadījumos (piemēram, pēc Pasūtītāja vai būvuzrauga pieprasījuma), uzņēmējam  pirms būvdarbu uzsākšanas jāveic tehniskās dokumentācijas izstrāde un saskaņošana kā piemēram, detalizācijas rasējumi un darbu veikšanas projekti. Detalizācijas risinājumu izstrādes izmaksas, kā arī būvdarbu veikšana atbilstoši detalizētajiem risinājumiem, uzņēmējam ir jāiekļauj būvdarbu izmaksās, sagatavojot finanšu piedāvājumu. Detalizācijas rasējumi uzņēmējam ir jāizstrādā atbilstoši LBN 202-18 “Būvniecības ieceres dokumentācijas noformēšana” un jāsaskaņo ar būvniecības dalībniekiem – Pasūtītāju, </w:t>
      </w:r>
      <w:proofErr w:type="spellStart"/>
      <w:r w:rsidRPr="009D11AB">
        <w:rPr>
          <w:sz w:val="22"/>
          <w:szCs w:val="22"/>
        </w:rPr>
        <w:t>autoruzraugu</w:t>
      </w:r>
      <w:proofErr w:type="spellEnd"/>
      <w:r w:rsidRPr="009D11AB">
        <w:rPr>
          <w:sz w:val="22"/>
          <w:szCs w:val="22"/>
        </w:rPr>
        <w:t xml:space="preserve"> un būvuzraugu pirms konkrētā darba uzsākšanas.</w:t>
      </w:r>
    </w:p>
    <w:p w14:paraId="130432AB" w14:textId="77777777" w:rsidR="00D12DC6" w:rsidRPr="009D11AB" w:rsidRDefault="00D12DC6" w:rsidP="009D11AB">
      <w:pPr>
        <w:pStyle w:val="ListParagraph"/>
        <w:numPr>
          <w:ilvl w:val="1"/>
          <w:numId w:val="1"/>
        </w:numPr>
        <w:spacing w:after="120"/>
        <w:ind w:right="-99" w:hanging="720"/>
        <w:jc w:val="both"/>
        <w:rPr>
          <w:sz w:val="22"/>
          <w:szCs w:val="22"/>
        </w:rPr>
      </w:pPr>
      <w:r w:rsidRPr="009D11AB">
        <w:rPr>
          <w:sz w:val="22"/>
          <w:szCs w:val="22"/>
        </w:rPr>
        <w:t>Izstrādājot Darba veikšanas projektu, darba rasējumus, risinājumus un izpildot būvdarbus, ņemt vērā visu projektu, kopumā rūpīgi iepazīstoties ar visām būvprojekta daļām, piezīmēm, pielikumiem u.t.t. Par visām atkāpēm un/vai nesaistēm starp atsevišķiem dokumentiem nekavējoties informēt Pasūtītāju un Projektētāju. Darba zīmējumos jāiekļauj pilns ražotāja uzstādīšanas instrukciju komplekts, t.sk. atļautās pielaides.</w:t>
      </w:r>
    </w:p>
    <w:p w14:paraId="231896B3" w14:textId="77777777" w:rsidR="00D12DC6" w:rsidRPr="009D11AB" w:rsidRDefault="00D12DC6" w:rsidP="009D11AB">
      <w:pPr>
        <w:pStyle w:val="ListParagraph"/>
        <w:numPr>
          <w:ilvl w:val="1"/>
          <w:numId w:val="1"/>
        </w:numPr>
        <w:spacing w:after="120"/>
        <w:ind w:right="-99" w:hanging="720"/>
        <w:jc w:val="both"/>
        <w:rPr>
          <w:sz w:val="22"/>
          <w:szCs w:val="22"/>
        </w:rPr>
      </w:pPr>
      <w:r w:rsidRPr="009D11AB">
        <w:rPr>
          <w:sz w:val="22"/>
          <w:szCs w:val="22"/>
        </w:rPr>
        <w:t xml:space="preserve">Pirms darbu uzsākšanas, uzņēmējam jāizstrādā un jāsaskaņo ar Pasūtītāju un Būvuzraugu: </w:t>
      </w:r>
    </w:p>
    <w:p w14:paraId="015A1CEF" w14:textId="77777777" w:rsidR="00D12DC6" w:rsidRPr="009D11AB" w:rsidRDefault="00D12DC6" w:rsidP="009D11AB">
      <w:pPr>
        <w:pStyle w:val="ListParagraph"/>
        <w:numPr>
          <w:ilvl w:val="2"/>
          <w:numId w:val="1"/>
        </w:numPr>
        <w:spacing w:after="120"/>
        <w:ind w:left="1418" w:right="-99"/>
        <w:jc w:val="both"/>
        <w:rPr>
          <w:sz w:val="22"/>
          <w:szCs w:val="22"/>
        </w:rPr>
      </w:pPr>
      <w:r w:rsidRPr="009D11AB">
        <w:rPr>
          <w:sz w:val="22"/>
          <w:szCs w:val="22"/>
        </w:rPr>
        <w:t>Darbu Veikšanas Projekts (</w:t>
      </w:r>
      <w:r w:rsidRPr="009D11AB">
        <w:rPr>
          <w:rFonts w:eastAsia="Calibri"/>
          <w:sz w:val="22"/>
          <w:szCs w:val="22"/>
        </w:rPr>
        <w:t>atbilstoši Ministru kabineta noteikumu Nr.529 “Ēku būvnoteikumi” un šai Tehniskai specifikācijai)</w:t>
      </w:r>
    </w:p>
    <w:p w14:paraId="7914B05F" w14:textId="77777777" w:rsidR="00D12DC6" w:rsidRPr="009D11AB" w:rsidRDefault="00D12DC6" w:rsidP="009D11AB">
      <w:pPr>
        <w:pStyle w:val="ListParagraph"/>
        <w:numPr>
          <w:ilvl w:val="2"/>
          <w:numId w:val="1"/>
        </w:numPr>
        <w:spacing w:after="120"/>
        <w:ind w:left="1418" w:right="-99"/>
        <w:jc w:val="both"/>
        <w:rPr>
          <w:sz w:val="22"/>
          <w:szCs w:val="22"/>
        </w:rPr>
      </w:pPr>
      <w:r w:rsidRPr="009D11AB">
        <w:rPr>
          <w:sz w:val="22"/>
          <w:szCs w:val="22"/>
        </w:rPr>
        <w:t>Kvalitātes Kontroles sistēma, atbilstoši “Ēku būvnoteikumi” 125. punkta prasībām</w:t>
      </w:r>
    </w:p>
    <w:p w14:paraId="29BF2B85" w14:textId="77777777" w:rsidR="00D12DC6" w:rsidRPr="009D11AB" w:rsidRDefault="00D12DC6" w:rsidP="009D11AB">
      <w:pPr>
        <w:pStyle w:val="ListParagraph"/>
        <w:numPr>
          <w:ilvl w:val="2"/>
          <w:numId w:val="1"/>
        </w:numPr>
        <w:spacing w:after="120"/>
        <w:ind w:left="1418" w:right="-99"/>
        <w:jc w:val="both"/>
        <w:rPr>
          <w:sz w:val="22"/>
          <w:szCs w:val="22"/>
        </w:rPr>
      </w:pPr>
      <w:r w:rsidRPr="009D11AB">
        <w:rPr>
          <w:sz w:val="22"/>
          <w:szCs w:val="22"/>
        </w:rPr>
        <w:t>Darba Aizsardzības plāns;</w:t>
      </w:r>
    </w:p>
    <w:p w14:paraId="25F547D6" w14:textId="1FEFD6C4" w:rsidR="00D12DC6" w:rsidRPr="009D11AB" w:rsidRDefault="00DF5260" w:rsidP="009D11AB">
      <w:pPr>
        <w:pStyle w:val="ListParagraph"/>
        <w:numPr>
          <w:ilvl w:val="2"/>
          <w:numId w:val="1"/>
        </w:numPr>
        <w:spacing w:after="120"/>
        <w:ind w:left="1418" w:right="-99"/>
        <w:jc w:val="both"/>
        <w:rPr>
          <w:sz w:val="22"/>
          <w:szCs w:val="22"/>
        </w:rPr>
      </w:pPr>
      <w:r>
        <w:rPr>
          <w:sz w:val="22"/>
          <w:szCs w:val="22"/>
        </w:rPr>
        <w:t>K</w:t>
      </w:r>
      <w:r w:rsidR="00D12DC6" w:rsidRPr="009D11AB">
        <w:rPr>
          <w:sz w:val="22"/>
          <w:szCs w:val="22"/>
        </w:rPr>
        <w:t>alendārais darbu veikšanas grafiks pa darbu veidiem (intervāls – 1 kalendārā nedēļa) un jāsaskaņo tas ar Pasūtītāju;</w:t>
      </w:r>
    </w:p>
    <w:p w14:paraId="4DD1B143" w14:textId="5DA02C70" w:rsidR="00D12DC6" w:rsidRPr="009D11AB" w:rsidRDefault="00DF5260" w:rsidP="009D11AB">
      <w:pPr>
        <w:pStyle w:val="ListParagraph"/>
        <w:numPr>
          <w:ilvl w:val="2"/>
          <w:numId w:val="1"/>
        </w:numPr>
        <w:spacing w:after="120"/>
        <w:ind w:left="1418" w:right="-99"/>
        <w:jc w:val="both"/>
        <w:rPr>
          <w:sz w:val="22"/>
          <w:szCs w:val="22"/>
        </w:rPr>
      </w:pPr>
      <w:r>
        <w:rPr>
          <w:sz w:val="22"/>
          <w:szCs w:val="22"/>
        </w:rPr>
        <w:t>N</w:t>
      </w:r>
      <w:r w:rsidR="00D12DC6" w:rsidRPr="009D11AB">
        <w:rPr>
          <w:sz w:val="22"/>
          <w:szCs w:val="22"/>
        </w:rPr>
        <w:t>audas plūsmas grafiks pa mēnešiem</w:t>
      </w:r>
      <w:r w:rsidR="001F6FFF">
        <w:t xml:space="preserve"> (</w:t>
      </w:r>
      <w:r w:rsidR="001F6FFF" w:rsidRPr="001F6FFF">
        <w:rPr>
          <w:sz w:val="22"/>
          <w:szCs w:val="22"/>
        </w:rPr>
        <w:t>ja nepieciešams</w:t>
      </w:r>
      <w:r w:rsidR="001F6FFF">
        <w:rPr>
          <w:sz w:val="22"/>
          <w:szCs w:val="22"/>
        </w:rPr>
        <w:t>);</w:t>
      </w:r>
    </w:p>
    <w:p w14:paraId="008A2CFD" w14:textId="77777777" w:rsidR="00D12DC6" w:rsidRPr="009D11AB" w:rsidRDefault="00D12DC6" w:rsidP="009D11AB">
      <w:pPr>
        <w:pStyle w:val="ListParagraph"/>
        <w:numPr>
          <w:ilvl w:val="2"/>
          <w:numId w:val="1"/>
        </w:numPr>
        <w:ind w:left="1417" w:right="-96"/>
        <w:contextualSpacing w:val="0"/>
        <w:jc w:val="both"/>
        <w:rPr>
          <w:sz w:val="22"/>
          <w:szCs w:val="22"/>
        </w:rPr>
      </w:pPr>
      <w:r w:rsidRPr="009D11AB">
        <w:rPr>
          <w:sz w:val="22"/>
          <w:szCs w:val="22"/>
        </w:rPr>
        <w:t>Personāla saraksts, kontakti, atbildības jomas.</w:t>
      </w:r>
    </w:p>
    <w:p w14:paraId="4FEC8AA0" w14:textId="77777777" w:rsidR="00B00ACF" w:rsidRDefault="00B00ACF" w:rsidP="009D11AB"/>
    <w:sectPr w:rsidR="00B00ACF" w:rsidSect="00A81688">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6650"/>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B435D2"/>
    <w:multiLevelType w:val="multilevel"/>
    <w:tmpl w:val="BBC63044"/>
    <w:lvl w:ilvl="0">
      <w:start w:val="1"/>
      <w:numFmt w:val="decimal"/>
      <w:pStyle w:val="Title"/>
      <w:lvlText w:val="%1."/>
      <w:lvlJc w:val="left"/>
      <w:pPr>
        <w:ind w:left="720" w:hanging="360"/>
      </w:pPr>
      <w:rPr>
        <w:rFonts w:hint="default"/>
        <w:b w:val="0"/>
        <w:bCs w:val="0"/>
      </w:rPr>
    </w:lvl>
    <w:lvl w:ilvl="1">
      <w:start w:val="1"/>
      <w:numFmt w:val="decimal"/>
      <w:pStyle w:val="Subtitle"/>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9236C1"/>
    <w:multiLevelType w:val="multilevel"/>
    <w:tmpl w:val="A9DAA080"/>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bullet"/>
      <w:lvlText w:val=""/>
      <w:lvlJc w:val="left"/>
      <w:pPr>
        <w:ind w:left="720" w:hanging="720"/>
      </w:pPr>
      <w:rPr>
        <w:rFonts w:ascii="Wingdings" w:hAnsi="Wingding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num w:numId="1" w16cid:durableId="1802916460">
    <w:abstractNumId w:val="1"/>
  </w:num>
  <w:num w:numId="2" w16cid:durableId="254947247">
    <w:abstractNumId w:val="0"/>
  </w:num>
  <w:num w:numId="3" w16cid:durableId="21358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C6"/>
    <w:rsid w:val="0001782F"/>
    <w:rsid w:val="00112D1D"/>
    <w:rsid w:val="00130C03"/>
    <w:rsid w:val="001F6FFF"/>
    <w:rsid w:val="00215FFE"/>
    <w:rsid w:val="00283311"/>
    <w:rsid w:val="00406881"/>
    <w:rsid w:val="0046309C"/>
    <w:rsid w:val="00504412"/>
    <w:rsid w:val="00574090"/>
    <w:rsid w:val="005D1CBC"/>
    <w:rsid w:val="00733BDE"/>
    <w:rsid w:val="00754E1B"/>
    <w:rsid w:val="00765853"/>
    <w:rsid w:val="007C529B"/>
    <w:rsid w:val="00853849"/>
    <w:rsid w:val="009D11AB"/>
    <w:rsid w:val="009E4AE0"/>
    <w:rsid w:val="00A06C5B"/>
    <w:rsid w:val="00A81688"/>
    <w:rsid w:val="00B00ACF"/>
    <w:rsid w:val="00B2510D"/>
    <w:rsid w:val="00B40553"/>
    <w:rsid w:val="00BC6C20"/>
    <w:rsid w:val="00C16FA8"/>
    <w:rsid w:val="00C51A29"/>
    <w:rsid w:val="00D101FB"/>
    <w:rsid w:val="00D12DC6"/>
    <w:rsid w:val="00D24BF4"/>
    <w:rsid w:val="00D56CEA"/>
    <w:rsid w:val="00D928BD"/>
    <w:rsid w:val="00DC6A84"/>
    <w:rsid w:val="00DF5260"/>
    <w:rsid w:val="00E93064"/>
    <w:rsid w:val="00F87D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905B"/>
  <w15:chartTrackingRefBased/>
  <w15:docId w15:val="{B5A6315C-7D30-437F-8E6D-DB9CD875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
    <w:basedOn w:val="Normal"/>
    <w:link w:val="ListParagraphChar"/>
    <w:uiPriority w:val="99"/>
    <w:qFormat/>
    <w:rsid w:val="00D12DC6"/>
    <w:pPr>
      <w:ind w:left="720"/>
      <w:contextualSpacing/>
    </w:p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99"/>
    <w:qFormat/>
    <w:rsid w:val="00D12DC6"/>
    <w:rPr>
      <w:rFonts w:ascii="Times New Roman" w:eastAsia="Times New Roman" w:hAnsi="Times New Roman" w:cs="Times New Roman"/>
      <w:sz w:val="24"/>
      <w:szCs w:val="24"/>
    </w:rPr>
  </w:style>
  <w:style w:type="paragraph" w:styleId="Title">
    <w:name w:val="Title"/>
    <w:basedOn w:val="ListParagraph"/>
    <w:next w:val="Normal"/>
    <w:link w:val="TitleChar"/>
    <w:uiPriority w:val="10"/>
    <w:qFormat/>
    <w:rsid w:val="00D12DC6"/>
    <w:pPr>
      <w:numPr>
        <w:numId w:val="1"/>
      </w:numPr>
    </w:pPr>
    <w:rPr>
      <w:b/>
      <w:bCs/>
    </w:rPr>
  </w:style>
  <w:style w:type="character" w:customStyle="1" w:styleId="TitleChar">
    <w:name w:val="Title Char"/>
    <w:basedOn w:val="DefaultParagraphFont"/>
    <w:link w:val="Title"/>
    <w:uiPriority w:val="10"/>
    <w:rsid w:val="00D12DC6"/>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D12DC6"/>
    <w:pPr>
      <w:numPr>
        <w:ilvl w:val="1"/>
        <w:numId w:val="1"/>
      </w:numPr>
      <w:ind w:left="993" w:hanging="633"/>
      <w:jc w:val="both"/>
    </w:pPr>
    <w:rPr>
      <w:b/>
      <w:bCs/>
      <w:szCs w:val="22"/>
    </w:rPr>
  </w:style>
  <w:style w:type="character" w:customStyle="1" w:styleId="SubtitleChar">
    <w:name w:val="Subtitle Char"/>
    <w:basedOn w:val="DefaultParagraphFont"/>
    <w:link w:val="Subtitle"/>
    <w:uiPriority w:val="11"/>
    <w:rsid w:val="00D12DC6"/>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63E9A-03D2-4523-B559-AB4BEB5AFB94}">
  <ds:schemaRefs>
    <ds:schemaRef ds:uri="http://schemas.microsoft.com/sharepoint/v3/contenttype/forms"/>
  </ds:schemaRefs>
</ds:datastoreItem>
</file>

<file path=customXml/itemProps2.xml><?xml version="1.0" encoding="utf-8"?>
<ds:datastoreItem xmlns:ds="http://schemas.openxmlformats.org/officeDocument/2006/customXml" ds:itemID="{2D4FFE05-F0EC-49AE-A0AC-2ABD1DEA39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CC065-3F24-414D-BAB1-7E7A03D56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11724</Words>
  <Characters>6684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Vineta Rūsiņa</cp:lastModifiedBy>
  <cp:revision>4</cp:revision>
  <dcterms:created xsi:type="dcterms:W3CDTF">2024-05-08T10:11:00Z</dcterms:created>
  <dcterms:modified xsi:type="dcterms:W3CDTF">2024-05-13T12:51:00Z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