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25103DA9" w14:textId="6AA3B46E" w:rsidR="001C1098" w:rsidRDefault="001C1098" w:rsidP="001C1098">
      <w:pPr>
        <w:rPr>
          <w:lang w:val="lv-LV"/>
        </w:rPr>
      </w:pPr>
    </w:p>
    <w:p w14:paraId="59CAA6F8" w14:textId="2301B7B4" w:rsidR="008748F6" w:rsidRPr="006E7CD4" w:rsidRDefault="001B3D16" w:rsidP="008748F6">
      <w:pPr>
        <w:rPr>
          <w:rFonts w:eastAsiaTheme="minorHAnsi"/>
          <w:sz w:val="23"/>
          <w:szCs w:val="23"/>
          <w:lang w:val="lv-LV"/>
        </w:rPr>
      </w:pPr>
      <w:r>
        <w:rPr>
          <w:rFonts w:eastAsia="Calibri"/>
          <w:sz w:val="23"/>
          <w:szCs w:val="23"/>
          <w:lang w:val="lv-LV"/>
        </w:rPr>
        <w:t>13</w:t>
      </w:r>
      <w:r w:rsidR="008748F6">
        <w:rPr>
          <w:sz w:val="23"/>
          <w:szCs w:val="23"/>
          <w:lang w:val="lv-LV"/>
        </w:rPr>
        <w:t>.08</w:t>
      </w:r>
      <w:r w:rsidR="008748F6" w:rsidRPr="006E7CD4">
        <w:rPr>
          <w:sz w:val="23"/>
          <w:szCs w:val="23"/>
          <w:lang w:val="lv-LV"/>
        </w:rPr>
        <w:t>.2024.</w:t>
      </w:r>
    </w:p>
    <w:p w14:paraId="553471CD" w14:textId="6360FC30" w:rsidR="008748F6" w:rsidRPr="00EB7787" w:rsidRDefault="008748F6" w:rsidP="008748F6">
      <w:pPr>
        <w:jc w:val="right"/>
        <w:rPr>
          <w:i/>
          <w:lang w:val="lv-LV"/>
        </w:rPr>
      </w:pPr>
    </w:p>
    <w:p w14:paraId="57FEB68A" w14:textId="77777777" w:rsidR="008748F6" w:rsidRPr="003159BE" w:rsidRDefault="008748F6" w:rsidP="008748F6">
      <w:pPr>
        <w:pStyle w:val="TableContents"/>
        <w:rPr>
          <w:i/>
          <w:sz w:val="22"/>
          <w:szCs w:val="22"/>
          <w:lang w:val="lv-LV"/>
        </w:rPr>
      </w:pPr>
      <w:r w:rsidRPr="003159BE">
        <w:rPr>
          <w:i/>
          <w:sz w:val="22"/>
          <w:szCs w:val="22"/>
          <w:lang w:val="lv-LV"/>
        </w:rPr>
        <w:t xml:space="preserve">Par iepirkuma procedūras </w:t>
      </w:r>
    </w:p>
    <w:p w14:paraId="61ADA9A4" w14:textId="77777777" w:rsidR="008748F6" w:rsidRPr="003159BE" w:rsidRDefault="008748F6" w:rsidP="008748F6">
      <w:pPr>
        <w:pStyle w:val="TableContents"/>
        <w:rPr>
          <w:rFonts w:cs="Times New Roman"/>
          <w:i/>
          <w:sz w:val="22"/>
          <w:szCs w:val="22"/>
          <w:lang w:val="lv-LV"/>
        </w:rPr>
      </w:pPr>
      <w:r w:rsidRPr="003159BE">
        <w:rPr>
          <w:i/>
          <w:sz w:val="22"/>
          <w:szCs w:val="22"/>
        </w:rPr>
        <w:t>“</w:t>
      </w:r>
      <w:r w:rsidRPr="003159BE">
        <w:rPr>
          <w:rFonts w:cs="Times New Roman"/>
          <w:i/>
          <w:sz w:val="22"/>
          <w:szCs w:val="22"/>
          <w:lang w:val="lv-LV"/>
        </w:rPr>
        <w:t xml:space="preserve">3. apakšstacijas ēkas atjaunošana un elektroiekārtu nomaiņa. 1.kārta” </w:t>
      </w:r>
    </w:p>
    <w:p w14:paraId="5E51ECCA" w14:textId="77777777" w:rsidR="008748F6" w:rsidRPr="003159BE" w:rsidRDefault="008748F6" w:rsidP="008748F6">
      <w:pPr>
        <w:rPr>
          <w:i/>
          <w:sz w:val="22"/>
          <w:szCs w:val="22"/>
          <w:lang w:val="lv-LV"/>
        </w:rPr>
      </w:pPr>
      <w:r w:rsidRPr="003159BE">
        <w:rPr>
          <w:i/>
          <w:sz w:val="22"/>
          <w:szCs w:val="22"/>
          <w:lang w:val="lv-LV"/>
        </w:rPr>
        <w:t>(identifikācijas Nr. RS/2024/51)</w:t>
      </w:r>
      <w:r w:rsidRPr="003159BE">
        <w:rPr>
          <w:rFonts w:eastAsiaTheme="minorHAnsi"/>
          <w:i/>
          <w:sz w:val="22"/>
          <w:szCs w:val="22"/>
          <w:lang w:val="lv-LV"/>
        </w:rPr>
        <w:t xml:space="preserve"> </w:t>
      </w:r>
      <w:r w:rsidRPr="003159BE">
        <w:rPr>
          <w:i/>
          <w:sz w:val="22"/>
          <w:szCs w:val="22"/>
          <w:lang w:val="lv-LV"/>
        </w:rPr>
        <w:t>nolikuma prasībām</w:t>
      </w:r>
    </w:p>
    <w:p w14:paraId="07F5F706" w14:textId="77777777" w:rsidR="008748F6" w:rsidRPr="003159BE" w:rsidRDefault="008748F6" w:rsidP="008748F6">
      <w:pPr>
        <w:jc w:val="both"/>
        <w:rPr>
          <w:sz w:val="22"/>
          <w:szCs w:val="22"/>
          <w:lang w:val="lv-LV"/>
        </w:rPr>
      </w:pPr>
    </w:p>
    <w:p w14:paraId="02125B67" w14:textId="77777777" w:rsidR="008748F6" w:rsidRPr="003159BE" w:rsidRDefault="008748F6" w:rsidP="008748F6">
      <w:pPr>
        <w:ind w:firstLine="426"/>
        <w:jc w:val="both"/>
        <w:rPr>
          <w:sz w:val="22"/>
          <w:szCs w:val="22"/>
          <w:lang w:val="lv-LV"/>
        </w:rPr>
      </w:pPr>
      <w:r w:rsidRPr="003159BE">
        <w:rPr>
          <w:sz w:val="22"/>
          <w:szCs w:val="22"/>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15493711" w14:textId="77777777" w:rsidR="008748F6" w:rsidRPr="003159BE" w:rsidRDefault="008748F6" w:rsidP="008748F6">
      <w:pPr>
        <w:ind w:firstLine="426"/>
        <w:jc w:val="both"/>
        <w:rPr>
          <w:sz w:val="22"/>
          <w:szCs w:val="22"/>
          <w:lang w:val="lv-LV"/>
        </w:rPr>
      </w:pPr>
    </w:p>
    <w:p w14:paraId="34D246F1" w14:textId="77777777" w:rsidR="008748F6" w:rsidRPr="003159BE" w:rsidRDefault="008748F6" w:rsidP="008748F6">
      <w:pPr>
        <w:jc w:val="both"/>
        <w:rPr>
          <w:rFonts w:eastAsiaTheme="minorHAnsi"/>
          <w:b/>
          <w:bCs/>
          <w:i/>
          <w:iCs/>
          <w:sz w:val="22"/>
          <w:szCs w:val="22"/>
          <w:u w:val="single"/>
        </w:rPr>
      </w:pPr>
      <w:r w:rsidRPr="003159BE">
        <w:rPr>
          <w:b/>
          <w:bCs/>
          <w:i/>
          <w:iCs/>
          <w:sz w:val="22"/>
          <w:szCs w:val="22"/>
        </w:rPr>
        <w:t>1.jautājums</w:t>
      </w:r>
      <w:r w:rsidRPr="003159BE">
        <w:rPr>
          <w:i/>
          <w:iCs/>
          <w:sz w:val="22"/>
          <w:szCs w:val="22"/>
        </w:rPr>
        <w:t>:</w:t>
      </w:r>
    </w:p>
    <w:p w14:paraId="37C9D644" w14:textId="77777777" w:rsidR="00C037B9" w:rsidRPr="00C037B9" w:rsidRDefault="00C037B9" w:rsidP="00C037B9">
      <w:pPr>
        <w:ind w:firstLine="720"/>
        <w:jc w:val="both"/>
        <w:rPr>
          <w:rFonts w:eastAsiaTheme="minorHAnsi"/>
          <w:sz w:val="22"/>
          <w:szCs w:val="22"/>
          <w:lang w:val="lv-LV"/>
        </w:rPr>
      </w:pPr>
      <w:r w:rsidRPr="00C037B9">
        <w:rPr>
          <w:rFonts w:eastAsiaTheme="minorHAnsi"/>
          <w:sz w:val="22"/>
          <w:szCs w:val="22"/>
          <w:lang w:val="lv-LV"/>
        </w:rPr>
        <w:t>Iepazīstoties ar iepirkuma procedūras "3. apakšstacijas ēkas atjaunošana un elektroiekārtu nomaiņa. 1.kārta" projekta dokumentāciju, ir radušies sekojoši jautājumi:</w:t>
      </w:r>
    </w:p>
    <w:p w14:paraId="586D8E6D" w14:textId="77777777" w:rsidR="00C037B9" w:rsidRPr="00C037B9" w:rsidRDefault="00C037B9" w:rsidP="00C037B9">
      <w:pPr>
        <w:numPr>
          <w:ilvl w:val="0"/>
          <w:numId w:val="3"/>
        </w:numPr>
        <w:spacing w:after="160" w:line="259" w:lineRule="auto"/>
        <w:ind w:left="709"/>
        <w:contextualSpacing/>
        <w:jc w:val="both"/>
        <w:rPr>
          <w:rFonts w:eastAsiaTheme="minorHAnsi"/>
          <w:sz w:val="22"/>
          <w:szCs w:val="22"/>
          <w:lang w:val="lv-LV"/>
        </w:rPr>
      </w:pPr>
      <w:r w:rsidRPr="00C037B9">
        <w:rPr>
          <w:rFonts w:eastAsiaTheme="minorHAnsi"/>
          <w:sz w:val="22"/>
          <w:szCs w:val="22"/>
          <w:lang w:val="lv-LV"/>
        </w:rPr>
        <w:t xml:space="preserve">Konkursa cenu sarakstā (5.pielikums) tāmes Nr. 2-2 un 2-3 sadaļās ir uzskaitīti tikai veicamo darbu apjomi, bet nav norādīti materiālu apjomi. </w:t>
      </w:r>
    </w:p>
    <w:p w14:paraId="3A3AA7C5" w14:textId="77777777" w:rsidR="00307C67" w:rsidRDefault="00307C67" w:rsidP="00EF5950">
      <w:pPr>
        <w:jc w:val="both"/>
        <w:rPr>
          <w:i/>
          <w:iCs/>
          <w:lang w:val="lv-LV"/>
        </w:rPr>
      </w:pPr>
    </w:p>
    <w:p w14:paraId="5F32C923" w14:textId="78B4E401" w:rsidR="00307C67" w:rsidRDefault="008C09E2" w:rsidP="00EF5950">
      <w:pPr>
        <w:jc w:val="both"/>
        <w:rPr>
          <w:i/>
          <w:iCs/>
          <w:lang w:val="lv-LV"/>
        </w:rPr>
      </w:pPr>
      <w:r>
        <w:rPr>
          <w:i/>
          <w:iCs/>
          <w:noProof/>
          <w:lang w:val="lv-LV"/>
        </w:rPr>
        <w:drawing>
          <wp:inline distT="0" distB="0" distL="0" distR="0" wp14:anchorId="0F6A5CE2" wp14:editId="0841DC63">
            <wp:extent cx="5895382" cy="452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952" cy="4561650"/>
                    </a:xfrm>
                    <a:prstGeom prst="rect">
                      <a:avLst/>
                    </a:prstGeom>
                    <a:noFill/>
                  </pic:spPr>
                </pic:pic>
              </a:graphicData>
            </a:graphic>
          </wp:inline>
        </w:drawing>
      </w:r>
    </w:p>
    <w:p w14:paraId="564FCDD3" w14:textId="77777777" w:rsidR="00307C67" w:rsidRDefault="00307C67" w:rsidP="00EF5950">
      <w:pPr>
        <w:jc w:val="both"/>
        <w:rPr>
          <w:i/>
          <w:iCs/>
          <w:lang w:val="lv-LV"/>
        </w:rPr>
      </w:pPr>
    </w:p>
    <w:p w14:paraId="048259F1" w14:textId="77E999E9" w:rsidR="00C037B9" w:rsidRDefault="005F53B6" w:rsidP="00EF5950">
      <w:pPr>
        <w:jc w:val="both"/>
        <w:rPr>
          <w:i/>
          <w:iCs/>
          <w:lang w:val="lv-LV"/>
        </w:rPr>
      </w:pPr>
      <w:r w:rsidRPr="00250DDB">
        <w:rPr>
          <w:noProof/>
        </w:rPr>
        <w:lastRenderedPageBreak/>
        <w:drawing>
          <wp:inline distT="0" distB="0" distL="0" distR="0" wp14:anchorId="57C26672" wp14:editId="57E10558">
            <wp:extent cx="5179766" cy="4718685"/>
            <wp:effectExtent l="0" t="0" r="1905" b="5715"/>
            <wp:docPr id="1272706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06142" name=""/>
                    <pic:cNvPicPr/>
                  </pic:nvPicPr>
                  <pic:blipFill>
                    <a:blip r:embed="rId14"/>
                    <a:stretch>
                      <a:fillRect/>
                    </a:stretch>
                  </pic:blipFill>
                  <pic:spPr>
                    <a:xfrm>
                      <a:off x="0" y="0"/>
                      <a:ext cx="5183211" cy="4721823"/>
                    </a:xfrm>
                    <a:prstGeom prst="rect">
                      <a:avLst/>
                    </a:prstGeom>
                  </pic:spPr>
                </pic:pic>
              </a:graphicData>
            </a:graphic>
          </wp:inline>
        </w:drawing>
      </w:r>
    </w:p>
    <w:p w14:paraId="6763F1A5" w14:textId="39633A53" w:rsidR="00C037B9" w:rsidRDefault="00F50046" w:rsidP="00EF5950">
      <w:pPr>
        <w:jc w:val="both"/>
        <w:rPr>
          <w:i/>
          <w:iCs/>
          <w:lang w:val="lv-LV"/>
        </w:rPr>
      </w:pPr>
      <w:r w:rsidRPr="00250DDB">
        <w:rPr>
          <w:noProof/>
        </w:rPr>
        <w:drawing>
          <wp:inline distT="0" distB="0" distL="0" distR="0" wp14:anchorId="2EC14F68" wp14:editId="4910150F">
            <wp:extent cx="5182226" cy="3486150"/>
            <wp:effectExtent l="0" t="0" r="0" b="0"/>
            <wp:docPr id="1104266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66364" name=""/>
                    <pic:cNvPicPr/>
                  </pic:nvPicPr>
                  <pic:blipFill>
                    <a:blip r:embed="rId15"/>
                    <a:stretch>
                      <a:fillRect/>
                    </a:stretch>
                  </pic:blipFill>
                  <pic:spPr>
                    <a:xfrm>
                      <a:off x="0" y="0"/>
                      <a:ext cx="5186314" cy="3488900"/>
                    </a:xfrm>
                    <a:prstGeom prst="rect">
                      <a:avLst/>
                    </a:prstGeom>
                  </pic:spPr>
                </pic:pic>
              </a:graphicData>
            </a:graphic>
          </wp:inline>
        </w:drawing>
      </w:r>
    </w:p>
    <w:p w14:paraId="53E84938" w14:textId="77777777" w:rsidR="00C037B9" w:rsidRDefault="00C037B9" w:rsidP="00EF5950">
      <w:pPr>
        <w:jc w:val="both"/>
        <w:rPr>
          <w:i/>
          <w:iCs/>
          <w:lang w:val="lv-LV"/>
        </w:rPr>
      </w:pPr>
    </w:p>
    <w:p w14:paraId="721461CC" w14:textId="77777777" w:rsidR="00C037B9" w:rsidRDefault="00C037B9" w:rsidP="00EF5950">
      <w:pPr>
        <w:jc w:val="both"/>
        <w:rPr>
          <w:i/>
          <w:iCs/>
          <w:lang w:val="lv-LV"/>
        </w:rPr>
      </w:pPr>
    </w:p>
    <w:p w14:paraId="6E41814A" w14:textId="77777777" w:rsidR="00C037B9" w:rsidRDefault="00C037B9" w:rsidP="00EF5950">
      <w:pPr>
        <w:jc w:val="both"/>
        <w:rPr>
          <w:i/>
          <w:iCs/>
          <w:lang w:val="lv-LV"/>
        </w:rPr>
      </w:pPr>
    </w:p>
    <w:p w14:paraId="31677304" w14:textId="77777777" w:rsidR="00C037B9" w:rsidRDefault="00C037B9" w:rsidP="00EF5950">
      <w:pPr>
        <w:jc w:val="both"/>
        <w:rPr>
          <w:i/>
          <w:iCs/>
          <w:lang w:val="lv-LV"/>
        </w:rPr>
      </w:pPr>
    </w:p>
    <w:p w14:paraId="48EFAABC" w14:textId="77777777" w:rsidR="002430F1" w:rsidRPr="002430F1" w:rsidRDefault="002430F1" w:rsidP="002430F1">
      <w:pPr>
        <w:ind w:firstLine="720"/>
        <w:jc w:val="both"/>
        <w:rPr>
          <w:rFonts w:eastAsiaTheme="minorHAnsi"/>
          <w:sz w:val="22"/>
          <w:szCs w:val="22"/>
          <w:lang w:val="lv-LV"/>
        </w:rPr>
      </w:pPr>
      <w:r w:rsidRPr="002430F1">
        <w:rPr>
          <w:rFonts w:eastAsiaTheme="minorHAnsi"/>
          <w:sz w:val="22"/>
          <w:szCs w:val="22"/>
          <w:lang w:val="lv-LV"/>
        </w:rPr>
        <w:t>Projekta dokumentācijas rasējumos par tāmes Nr. 2-2 un 2-3 sadaļām ir pieejami izvērsti rasējumi gan darbiem, gan materiāliem.</w:t>
      </w:r>
    </w:p>
    <w:p w14:paraId="631958D7" w14:textId="77777777" w:rsidR="00C037B9" w:rsidRDefault="00C037B9" w:rsidP="00EF5950">
      <w:pPr>
        <w:jc w:val="both"/>
        <w:rPr>
          <w:i/>
          <w:iCs/>
          <w:lang w:val="lv-LV"/>
        </w:rPr>
      </w:pPr>
    </w:p>
    <w:p w14:paraId="5CE8018D" w14:textId="58B4C355" w:rsidR="00C037B9" w:rsidRDefault="00A10EC0" w:rsidP="00EF5950">
      <w:pPr>
        <w:jc w:val="both"/>
        <w:rPr>
          <w:i/>
          <w:iCs/>
          <w:lang w:val="lv-LV"/>
        </w:rPr>
      </w:pPr>
      <w:r w:rsidRPr="00D60B71">
        <w:rPr>
          <w:noProof/>
        </w:rPr>
        <w:drawing>
          <wp:inline distT="0" distB="0" distL="0" distR="0" wp14:anchorId="29B66A59" wp14:editId="3FFD536B">
            <wp:extent cx="5753100" cy="7943096"/>
            <wp:effectExtent l="0" t="0" r="0" b="1270"/>
            <wp:docPr id="68554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758" name=""/>
                    <pic:cNvPicPr/>
                  </pic:nvPicPr>
                  <pic:blipFill>
                    <a:blip r:embed="rId16"/>
                    <a:stretch>
                      <a:fillRect/>
                    </a:stretch>
                  </pic:blipFill>
                  <pic:spPr>
                    <a:xfrm>
                      <a:off x="0" y="0"/>
                      <a:ext cx="5762493" cy="7956065"/>
                    </a:xfrm>
                    <a:prstGeom prst="rect">
                      <a:avLst/>
                    </a:prstGeom>
                  </pic:spPr>
                </pic:pic>
              </a:graphicData>
            </a:graphic>
          </wp:inline>
        </w:drawing>
      </w:r>
    </w:p>
    <w:p w14:paraId="7F18A6BE" w14:textId="77777777" w:rsidR="00C037B9" w:rsidRDefault="00C037B9" w:rsidP="00EF5950">
      <w:pPr>
        <w:jc w:val="both"/>
        <w:rPr>
          <w:i/>
          <w:iCs/>
          <w:lang w:val="lv-LV"/>
        </w:rPr>
      </w:pPr>
    </w:p>
    <w:p w14:paraId="78E223C8" w14:textId="525128CF" w:rsidR="00C037B9" w:rsidRDefault="004E7F38" w:rsidP="00EF5950">
      <w:pPr>
        <w:jc w:val="both"/>
        <w:rPr>
          <w:i/>
          <w:iCs/>
          <w:lang w:val="lv-LV"/>
        </w:rPr>
      </w:pPr>
      <w:r w:rsidRPr="00D60B71">
        <w:rPr>
          <w:noProof/>
        </w:rPr>
        <w:lastRenderedPageBreak/>
        <w:drawing>
          <wp:inline distT="0" distB="0" distL="0" distR="0" wp14:anchorId="0E9773EE" wp14:editId="4D3A99FC">
            <wp:extent cx="5943600" cy="8409816"/>
            <wp:effectExtent l="0" t="0" r="0" b="0"/>
            <wp:docPr id="793621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21847" name=""/>
                    <pic:cNvPicPr/>
                  </pic:nvPicPr>
                  <pic:blipFill>
                    <a:blip r:embed="rId17"/>
                    <a:stretch>
                      <a:fillRect/>
                    </a:stretch>
                  </pic:blipFill>
                  <pic:spPr>
                    <a:xfrm>
                      <a:off x="0" y="0"/>
                      <a:ext cx="5956091" cy="8427490"/>
                    </a:xfrm>
                    <a:prstGeom prst="rect">
                      <a:avLst/>
                    </a:prstGeom>
                  </pic:spPr>
                </pic:pic>
              </a:graphicData>
            </a:graphic>
          </wp:inline>
        </w:drawing>
      </w:r>
    </w:p>
    <w:p w14:paraId="53606F4A" w14:textId="77777777" w:rsidR="00C037B9" w:rsidRDefault="00C037B9" w:rsidP="00EF5950">
      <w:pPr>
        <w:jc w:val="both"/>
        <w:rPr>
          <w:i/>
          <w:iCs/>
          <w:lang w:val="lv-LV"/>
        </w:rPr>
      </w:pPr>
    </w:p>
    <w:p w14:paraId="27C64F66" w14:textId="77777777" w:rsidR="003B4368" w:rsidRDefault="003B4368" w:rsidP="00EF5950">
      <w:pPr>
        <w:jc w:val="both"/>
        <w:rPr>
          <w:i/>
          <w:iCs/>
          <w:lang w:val="lv-LV"/>
        </w:rPr>
      </w:pPr>
    </w:p>
    <w:p w14:paraId="34F08A12" w14:textId="77777777" w:rsidR="003B4368" w:rsidRDefault="003B4368" w:rsidP="00EF5950">
      <w:pPr>
        <w:jc w:val="both"/>
        <w:rPr>
          <w:i/>
          <w:iCs/>
          <w:lang w:val="lv-LV"/>
        </w:rPr>
      </w:pPr>
    </w:p>
    <w:p w14:paraId="5C220714" w14:textId="77777777" w:rsidR="003B4368" w:rsidRDefault="003B4368" w:rsidP="00EF5950">
      <w:pPr>
        <w:jc w:val="both"/>
        <w:rPr>
          <w:i/>
          <w:iCs/>
          <w:lang w:val="lv-LV"/>
        </w:rPr>
      </w:pPr>
    </w:p>
    <w:p w14:paraId="7DA83AE7" w14:textId="77777777" w:rsidR="003B4368" w:rsidRDefault="003B4368" w:rsidP="00EF5950">
      <w:pPr>
        <w:jc w:val="both"/>
        <w:rPr>
          <w:i/>
          <w:iCs/>
          <w:lang w:val="lv-LV"/>
        </w:rPr>
      </w:pPr>
    </w:p>
    <w:p w14:paraId="2CBF7DC5" w14:textId="1DEE3D78" w:rsidR="003B4368" w:rsidRDefault="003B4368" w:rsidP="00EF5950">
      <w:pPr>
        <w:jc w:val="both"/>
        <w:rPr>
          <w:i/>
          <w:iCs/>
          <w:lang w:val="lv-LV"/>
        </w:rPr>
      </w:pPr>
      <w:r w:rsidRPr="00D60B71">
        <w:rPr>
          <w:noProof/>
        </w:rPr>
        <w:drawing>
          <wp:inline distT="0" distB="0" distL="0" distR="0" wp14:anchorId="57B8E182" wp14:editId="4EA6B790">
            <wp:extent cx="5981700" cy="7515225"/>
            <wp:effectExtent l="0" t="0" r="0" b="9525"/>
            <wp:docPr id="98922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20116" name=""/>
                    <pic:cNvPicPr/>
                  </pic:nvPicPr>
                  <pic:blipFill>
                    <a:blip r:embed="rId18"/>
                    <a:stretch>
                      <a:fillRect/>
                    </a:stretch>
                  </pic:blipFill>
                  <pic:spPr>
                    <a:xfrm>
                      <a:off x="0" y="0"/>
                      <a:ext cx="5983786" cy="7517846"/>
                    </a:xfrm>
                    <a:prstGeom prst="rect">
                      <a:avLst/>
                    </a:prstGeom>
                  </pic:spPr>
                </pic:pic>
              </a:graphicData>
            </a:graphic>
          </wp:inline>
        </w:drawing>
      </w:r>
    </w:p>
    <w:p w14:paraId="08AD2A6A" w14:textId="77777777" w:rsidR="003B4368" w:rsidRDefault="003B4368" w:rsidP="00EF5950">
      <w:pPr>
        <w:jc w:val="both"/>
        <w:rPr>
          <w:i/>
          <w:iCs/>
          <w:lang w:val="lv-LV"/>
        </w:rPr>
      </w:pPr>
    </w:p>
    <w:p w14:paraId="503C0B25" w14:textId="77777777" w:rsidR="00E94DDB" w:rsidRPr="00E94DDB" w:rsidRDefault="00E94DDB" w:rsidP="00E94DDB">
      <w:pPr>
        <w:ind w:left="720"/>
        <w:jc w:val="both"/>
        <w:rPr>
          <w:rFonts w:eastAsiaTheme="minorHAnsi"/>
          <w:sz w:val="22"/>
          <w:szCs w:val="22"/>
          <w:lang w:val="lv-LV"/>
        </w:rPr>
      </w:pPr>
      <w:r w:rsidRPr="00E94DDB">
        <w:rPr>
          <w:rFonts w:eastAsiaTheme="minorHAnsi"/>
          <w:sz w:val="22"/>
          <w:szCs w:val="22"/>
          <w:lang w:val="lv-LV"/>
        </w:rPr>
        <w:t>Ja veicamo darbu apjomi sakristu ar piegādājamajiem materiāliem jautājumu nebūtu, bet diemžēl tā nav, kā piemērs tāmes Nr.2-2 darbu pozīcijas kabeļu montāžai kopējais apjoms sastāda 384m:</w:t>
      </w:r>
    </w:p>
    <w:p w14:paraId="2F829D8A" w14:textId="77777777" w:rsidR="003B4368" w:rsidRDefault="003B4368" w:rsidP="00EF5950">
      <w:pPr>
        <w:jc w:val="both"/>
        <w:rPr>
          <w:i/>
          <w:iCs/>
          <w:lang w:val="lv-LV"/>
        </w:rPr>
      </w:pPr>
    </w:p>
    <w:p w14:paraId="4F30EE82" w14:textId="71261752" w:rsidR="003B4368" w:rsidRDefault="00E97938" w:rsidP="00EF5950">
      <w:pPr>
        <w:jc w:val="both"/>
        <w:rPr>
          <w:i/>
          <w:iCs/>
          <w:lang w:val="lv-LV"/>
        </w:rPr>
      </w:pPr>
      <w:r w:rsidRPr="00D60B71">
        <w:rPr>
          <w:noProof/>
        </w:rPr>
        <w:drawing>
          <wp:inline distT="0" distB="0" distL="0" distR="0" wp14:anchorId="5D5994CE" wp14:editId="7653FE69">
            <wp:extent cx="5981700" cy="695245"/>
            <wp:effectExtent l="0" t="0" r="0" b="0"/>
            <wp:docPr id="918427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27671" name=""/>
                    <pic:cNvPicPr/>
                  </pic:nvPicPr>
                  <pic:blipFill>
                    <a:blip r:embed="rId19"/>
                    <a:stretch>
                      <a:fillRect/>
                    </a:stretch>
                  </pic:blipFill>
                  <pic:spPr>
                    <a:xfrm>
                      <a:off x="0" y="0"/>
                      <a:ext cx="6076907" cy="706311"/>
                    </a:xfrm>
                    <a:prstGeom prst="rect">
                      <a:avLst/>
                    </a:prstGeom>
                  </pic:spPr>
                </pic:pic>
              </a:graphicData>
            </a:graphic>
          </wp:inline>
        </w:drawing>
      </w:r>
    </w:p>
    <w:p w14:paraId="21705E25" w14:textId="77777777" w:rsidR="003B4368" w:rsidRDefault="003B4368" w:rsidP="00EF5950">
      <w:pPr>
        <w:jc w:val="both"/>
        <w:rPr>
          <w:i/>
          <w:iCs/>
          <w:lang w:val="lv-LV"/>
        </w:rPr>
      </w:pPr>
    </w:p>
    <w:p w14:paraId="362F3F69" w14:textId="77777777" w:rsidR="00307C67" w:rsidRDefault="00307C67" w:rsidP="00EF5950">
      <w:pPr>
        <w:jc w:val="both"/>
        <w:rPr>
          <w:i/>
          <w:iCs/>
          <w:lang w:val="lv-LV"/>
        </w:rPr>
      </w:pPr>
    </w:p>
    <w:p w14:paraId="335C7E3B" w14:textId="77777777" w:rsidR="00991D6D" w:rsidRPr="00991D6D" w:rsidRDefault="00991D6D" w:rsidP="00991D6D">
      <w:pPr>
        <w:jc w:val="both"/>
        <w:rPr>
          <w:rFonts w:eastAsiaTheme="minorHAnsi"/>
          <w:sz w:val="22"/>
          <w:szCs w:val="22"/>
          <w:lang w:val="lv-LV"/>
        </w:rPr>
      </w:pPr>
      <w:r w:rsidRPr="00991D6D">
        <w:rPr>
          <w:rFonts w:eastAsiaTheme="minorHAnsi"/>
          <w:sz w:val="22"/>
          <w:szCs w:val="22"/>
          <w:lang w:val="lv-LV"/>
        </w:rPr>
        <w:t>Bet tāmes Nr.2-2 materiālu pozīcijās kabeļu piegādājamais apjoms sastāda 1472m:</w:t>
      </w:r>
    </w:p>
    <w:p w14:paraId="2640F2C4" w14:textId="77777777" w:rsidR="00E97938" w:rsidRDefault="00E97938" w:rsidP="00EF5950">
      <w:pPr>
        <w:jc w:val="both"/>
        <w:rPr>
          <w:i/>
          <w:iCs/>
          <w:lang w:val="lv-LV"/>
        </w:rPr>
      </w:pPr>
    </w:p>
    <w:p w14:paraId="26244601" w14:textId="2EDA64B9" w:rsidR="00E97938" w:rsidRDefault="001E5FEF" w:rsidP="001E5FEF">
      <w:pPr>
        <w:tabs>
          <w:tab w:val="left" w:pos="7655"/>
        </w:tabs>
        <w:jc w:val="both"/>
        <w:rPr>
          <w:i/>
          <w:iCs/>
          <w:lang w:val="lv-LV"/>
        </w:rPr>
      </w:pPr>
      <w:r w:rsidRPr="00876F09">
        <w:rPr>
          <w:noProof/>
        </w:rPr>
        <w:drawing>
          <wp:inline distT="0" distB="0" distL="0" distR="0" wp14:anchorId="0B56D524" wp14:editId="382A09A5">
            <wp:extent cx="5886450" cy="701040"/>
            <wp:effectExtent l="0" t="0" r="0" b="3810"/>
            <wp:docPr id="189977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71431" name=""/>
                    <pic:cNvPicPr/>
                  </pic:nvPicPr>
                  <pic:blipFill>
                    <a:blip r:embed="rId20"/>
                    <a:stretch>
                      <a:fillRect/>
                    </a:stretch>
                  </pic:blipFill>
                  <pic:spPr>
                    <a:xfrm>
                      <a:off x="0" y="0"/>
                      <a:ext cx="5940022" cy="707420"/>
                    </a:xfrm>
                    <a:prstGeom prst="rect">
                      <a:avLst/>
                    </a:prstGeom>
                  </pic:spPr>
                </pic:pic>
              </a:graphicData>
            </a:graphic>
          </wp:inline>
        </w:drawing>
      </w:r>
    </w:p>
    <w:p w14:paraId="5080B7DD" w14:textId="77777777" w:rsidR="00E97938" w:rsidRDefault="00E97938" w:rsidP="00EF5950">
      <w:pPr>
        <w:jc w:val="both"/>
        <w:rPr>
          <w:i/>
          <w:iCs/>
          <w:lang w:val="lv-LV"/>
        </w:rPr>
      </w:pPr>
    </w:p>
    <w:p w14:paraId="26D2CB23" w14:textId="77777777" w:rsidR="00CF54FA" w:rsidRPr="00CF54FA" w:rsidRDefault="00CF54FA" w:rsidP="00CF54FA">
      <w:pPr>
        <w:spacing w:line="360" w:lineRule="auto"/>
        <w:jc w:val="both"/>
        <w:rPr>
          <w:rFonts w:eastAsiaTheme="minorHAnsi"/>
          <w:sz w:val="22"/>
          <w:szCs w:val="22"/>
          <w:lang w:val="lv-LV"/>
        </w:rPr>
      </w:pPr>
      <w:r w:rsidRPr="00CF54FA">
        <w:rPr>
          <w:rFonts w:eastAsiaTheme="minorHAnsi"/>
          <w:sz w:val="22"/>
          <w:szCs w:val="22"/>
          <w:lang w:val="lv-LV"/>
        </w:rPr>
        <w:t>Otrs piemērs no tāmes Nr.2-3 darbu pozīcijas kabeļu montāžai kopējais apjoms sastāda 706m:</w:t>
      </w:r>
    </w:p>
    <w:p w14:paraId="15012A4E" w14:textId="30B23393" w:rsidR="00E97938" w:rsidRDefault="00DE75F0" w:rsidP="00EF5950">
      <w:pPr>
        <w:jc w:val="both"/>
        <w:rPr>
          <w:i/>
          <w:iCs/>
          <w:lang w:val="lv-LV"/>
        </w:rPr>
      </w:pPr>
      <w:r w:rsidRPr="00876F09">
        <w:rPr>
          <w:noProof/>
        </w:rPr>
        <w:drawing>
          <wp:inline distT="0" distB="0" distL="0" distR="0" wp14:anchorId="3F716000" wp14:editId="6FCCE815">
            <wp:extent cx="5886450" cy="685723"/>
            <wp:effectExtent l="0" t="0" r="0" b="635"/>
            <wp:docPr id="195724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48824" name=""/>
                    <pic:cNvPicPr/>
                  </pic:nvPicPr>
                  <pic:blipFill>
                    <a:blip r:embed="rId21"/>
                    <a:stretch>
                      <a:fillRect/>
                    </a:stretch>
                  </pic:blipFill>
                  <pic:spPr>
                    <a:xfrm>
                      <a:off x="0" y="0"/>
                      <a:ext cx="5991487" cy="697959"/>
                    </a:xfrm>
                    <a:prstGeom prst="rect">
                      <a:avLst/>
                    </a:prstGeom>
                  </pic:spPr>
                </pic:pic>
              </a:graphicData>
            </a:graphic>
          </wp:inline>
        </w:drawing>
      </w:r>
    </w:p>
    <w:p w14:paraId="43F053DA" w14:textId="77777777" w:rsidR="00E97938" w:rsidRDefault="00E97938" w:rsidP="00EF5950">
      <w:pPr>
        <w:jc w:val="both"/>
        <w:rPr>
          <w:i/>
          <w:iCs/>
          <w:lang w:val="lv-LV"/>
        </w:rPr>
      </w:pPr>
    </w:p>
    <w:p w14:paraId="7C05DDE2" w14:textId="74DAC84B" w:rsidR="00DE75F0" w:rsidRDefault="00D54DAE" w:rsidP="00EF5950">
      <w:pPr>
        <w:jc w:val="both"/>
        <w:rPr>
          <w:i/>
          <w:iCs/>
          <w:lang w:val="lv-LV"/>
        </w:rPr>
      </w:pPr>
      <w:r>
        <w:t xml:space="preserve">Bet </w:t>
      </w:r>
      <w:proofErr w:type="spellStart"/>
      <w:r>
        <w:t>tāmes</w:t>
      </w:r>
      <w:proofErr w:type="spellEnd"/>
      <w:r>
        <w:t xml:space="preserve"> Nr.2-3 </w:t>
      </w:r>
      <w:proofErr w:type="spellStart"/>
      <w:r>
        <w:t>materiālu</w:t>
      </w:r>
      <w:proofErr w:type="spellEnd"/>
      <w:r>
        <w:t xml:space="preserve"> </w:t>
      </w:r>
      <w:proofErr w:type="spellStart"/>
      <w:r>
        <w:t>pozīcijās</w:t>
      </w:r>
      <w:proofErr w:type="spellEnd"/>
      <w:r>
        <w:t xml:space="preserve"> </w:t>
      </w:r>
      <w:proofErr w:type="spellStart"/>
      <w:r>
        <w:t>kabeļu</w:t>
      </w:r>
      <w:proofErr w:type="spellEnd"/>
      <w:r>
        <w:t xml:space="preserve"> </w:t>
      </w:r>
      <w:proofErr w:type="spellStart"/>
      <w:r>
        <w:t>piegādājamais</w:t>
      </w:r>
      <w:proofErr w:type="spellEnd"/>
      <w:r>
        <w:t xml:space="preserve"> </w:t>
      </w:r>
      <w:proofErr w:type="spellStart"/>
      <w:r>
        <w:t>apjoms</w:t>
      </w:r>
      <w:proofErr w:type="spellEnd"/>
      <w:r>
        <w:t xml:space="preserve"> </w:t>
      </w:r>
      <w:proofErr w:type="spellStart"/>
      <w:r>
        <w:t>sastāda</w:t>
      </w:r>
      <w:proofErr w:type="spellEnd"/>
      <w:r>
        <w:t xml:space="preserve"> 1713m:</w:t>
      </w:r>
    </w:p>
    <w:p w14:paraId="05A066A4" w14:textId="015D9961" w:rsidR="00DE75F0" w:rsidRDefault="000C05B8" w:rsidP="00EF5950">
      <w:pPr>
        <w:jc w:val="both"/>
        <w:rPr>
          <w:i/>
          <w:iCs/>
          <w:lang w:val="lv-LV"/>
        </w:rPr>
      </w:pPr>
      <w:r w:rsidRPr="00876F09">
        <w:rPr>
          <w:noProof/>
        </w:rPr>
        <w:drawing>
          <wp:inline distT="0" distB="0" distL="0" distR="0" wp14:anchorId="7ED1D562" wp14:editId="3892A0F3">
            <wp:extent cx="5886450" cy="2181223"/>
            <wp:effectExtent l="0" t="0" r="0" b="0"/>
            <wp:docPr id="168221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18846" name=""/>
                    <pic:cNvPicPr/>
                  </pic:nvPicPr>
                  <pic:blipFill>
                    <a:blip r:embed="rId22"/>
                    <a:stretch>
                      <a:fillRect/>
                    </a:stretch>
                  </pic:blipFill>
                  <pic:spPr>
                    <a:xfrm>
                      <a:off x="0" y="0"/>
                      <a:ext cx="5907379" cy="2188978"/>
                    </a:xfrm>
                    <a:prstGeom prst="rect">
                      <a:avLst/>
                    </a:prstGeom>
                  </pic:spPr>
                </pic:pic>
              </a:graphicData>
            </a:graphic>
          </wp:inline>
        </w:drawing>
      </w:r>
    </w:p>
    <w:p w14:paraId="6D960BF5" w14:textId="77777777" w:rsidR="00DE75F0" w:rsidRDefault="00DE75F0" w:rsidP="00EF5950">
      <w:pPr>
        <w:jc w:val="both"/>
        <w:rPr>
          <w:i/>
          <w:iCs/>
          <w:lang w:val="lv-LV"/>
        </w:rPr>
      </w:pPr>
    </w:p>
    <w:p w14:paraId="5BC0D765" w14:textId="77777777" w:rsidR="00835510" w:rsidRPr="00835510" w:rsidRDefault="00835510" w:rsidP="00835510">
      <w:pPr>
        <w:spacing w:line="360" w:lineRule="auto"/>
        <w:ind w:firstLine="720"/>
        <w:jc w:val="both"/>
        <w:rPr>
          <w:rFonts w:eastAsiaTheme="minorHAnsi"/>
          <w:sz w:val="22"/>
          <w:szCs w:val="22"/>
          <w:lang w:val="lv-LV"/>
        </w:rPr>
      </w:pPr>
      <w:r w:rsidRPr="00835510">
        <w:rPr>
          <w:rFonts w:eastAsiaTheme="minorHAnsi"/>
          <w:sz w:val="22"/>
          <w:szCs w:val="22"/>
          <w:lang w:val="lv-LV"/>
        </w:rPr>
        <w:t>Vēršam uzmanību, ka projektā ir vēl vairākas darbu, materiālu pozīcijas, kur ir būtiska nesakritība. Problēma būs tanī brīdī, kad veicot darbus, tiks konstatēts kā piemēram, kad kabeļu trase vai pats kabelis ir nepieciešams krietni vairāk nekā tas ir norādīts projekta cenu saraksta darbos (5.pielikums).</w:t>
      </w:r>
    </w:p>
    <w:p w14:paraId="10141EE0" w14:textId="77777777" w:rsidR="00835510" w:rsidRPr="00835510" w:rsidRDefault="00835510" w:rsidP="00835510">
      <w:pPr>
        <w:spacing w:line="360" w:lineRule="auto"/>
        <w:ind w:firstLine="720"/>
        <w:jc w:val="both"/>
        <w:rPr>
          <w:rFonts w:eastAsiaTheme="minorHAnsi"/>
          <w:sz w:val="22"/>
          <w:szCs w:val="22"/>
          <w:lang w:val="lv-LV"/>
        </w:rPr>
      </w:pPr>
      <w:r w:rsidRPr="00835510">
        <w:rPr>
          <w:rFonts w:eastAsiaTheme="minorHAnsi"/>
          <w:sz w:val="22"/>
          <w:szCs w:val="22"/>
          <w:lang w:val="lv-LV"/>
        </w:rPr>
        <w:t>Nākamā problēma būs brīdī, kad korekti būs nepieciešams uzskaitīt papilddarbu (darbu/materiālu) apjomu, ja konkursa forma paredz zem darbu pozīcijām iekļaut arī visus materiālus.</w:t>
      </w:r>
    </w:p>
    <w:p w14:paraId="6EF14167" w14:textId="77777777" w:rsidR="00835510" w:rsidRPr="00835510" w:rsidRDefault="00835510" w:rsidP="00835510">
      <w:pPr>
        <w:spacing w:line="360" w:lineRule="auto"/>
        <w:ind w:firstLine="720"/>
        <w:jc w:val="both"/>
        <w:rPr>
          <w:rFonts w:eastAsiaTheme="minorHAnsi"/>
          <w:sz w:val="22"/>
          <w:szCs w:val="22"/>
          <w:lang w:val="lv-LV"/>
        </w:rPr>
      </w:pPr>
      <w:r w:rsidRPr="00835510">
        <w:rPr>
          <w:rFonts w:eastAsiaTheme="minorHAnsi"/>
          <w:sz w:val="22"/>
          <w:szCs w:val="22"/>
          <w:highlight w:val="yellow"/>
          <w:lang w:val="lv-LV"/>
        </w:rPr>
        <w:t>Lūgums precizēt, kā korekti zem konkursa cenu saraksta (5.pielikums) darbu formas uzskaitīt visus nepieciešamos materiālus, kur ir būtiska nesakritība ar darbu apjomiem?</w:t>
      </w:r>
    </w:p>
    <w:p w14:paraId="56ADABD0" w14:textId="77777777" w:rsidR="000C05B8" w:rsidRDefault="000C05B8" w:rsidP="00EF5950">
      <w:pPr>
        <w:jc w:val="both"/>
        <w:rPr>
          <w:i/>
          <w:iCs/>
          <w:lang w:val="lv-LV"/>
        </w:rPr>
      </w:pPr>
    </w:p>
    <w:p w14:paraId="5B82BF75" w14:textId="221E4159" w:rsidR="00083719" w:rsidRDefault="00835510" w:rsidP="00083719">
      <w:pPr>
        <w:jc w:val="both"/>
        <w:rPr>
          <w:rFonts w:eastAsiaTheme="minorHAnsi"/>
          <w:kern w:val="2"/>
          <w:sz w:val="23"/>
          <w:szCs w:val="23"/>
          <w:lang w:val="lv-LV"/>
          <w14:ligatures w14:val="standardContextual"/>
        </w:rPr>
      </w:pPr>
      <w:r w:rsidRPr="00835510">
        <w:rPr>
          <w:b/>
          <w:bCs/>
          <w:lang w:val="lv-LV"/>
        </w:rPr>
        <w:t xml:space="preserve">Atbilde: </w:t>
      </w:r>
      <w:r w:rsidR="00083719">
        <w:rPr>
          <w:lang w:val="lv-LV"/>
        </w:rPr>
        <w:t>Informējam, ka nolikumā ir</w:t>
      </w:r>
      <w:r w:rsidR="00083719" w:rsidRPr="00B05E4E">
        <w:rPr>
          <w:rFonts w:eastAsiaTheme="minorHAnsi"/>
          <w:kern w:val="2"/>
          <w:lang w:val="lv-LV"/>
          <w14:ligatures w14:val="standardContextual"/>
        </w:rPr>
        <w:t xml:space="preserve"> veikti grozījumi. Lūdzam sekot informācijai </w:t>
      </w:r>
      <w:hyperlink r:id="rId23" w:history="1">
        <w:r w:rsidR="00083719" w:rsidRPr="00B05E4E">
          <w:rPr>
            <w:rFonts w:eastAsiaTheme="minorHAnsi"/>
            <w:color w:val="0563C1"/>
            <w:kern w:val="2"/>
            <w:u w:val="single"/>
            <w:lang w:val="lv-LV"/>
            <w14:ligatures w14:val="standardContextual"/>
          </w:rPr>
          <w:t>www.eis.gov.lv</w:t>
        </w:r>
      </w:hyperlink>
      <w:r w:rsidR="00083719" w:rsidRPr="00B05E4E">
        <w:rPr>
          <w:rFonts w:eastAsiaTheme="minorHAnsi"/>
          <w:kern w:val="2"/>
          <w:lang w:val="lv-LV"/>
          <w14:ligatures w14:val="standardContextual"/>
        </w:rPr>
        <w:t xml:space="preserve"> un </w:t>
      </w:r>
      <w:hyperlink r:id="rId24" w:history="1">
        <w:r w:rsidR="00083719" w:rsidRPr="00B05E4E">
          <w:rPr>
            <w:rFonts w:eastAsiaTheme="minorHAnsi"/>
            <w:color w:val="0563C1"/>
            <w:kern w:val="2"/>
            <w:u w:val="single"/>
            <w:lang w:val="lv-LV"/>
            <w14:ligatures w14:val="standardContextual"/>
          </w:rPr>
          <w:t>www.rigassatiksme.lv</w:t>
        </w:r>
      </w:hyperlink>
      <w:r w:rsidR="00083719" w:rsidRPr="006E7CD4">
        <w:rPr>
          <w:rFonts w:eastAsiaTheme="minorHAnsi"/>
          <w:kern w:val="2"/>
          <w:sz w:val="23"/>
          <w:szCs w:val="23"/>
          <w:lang w:val="lv-LV"/>
          <w14:ligatures w14:val="standardContextual"/>
        </w:rPr>
        <w:t>.</w:t>
      </w:r>
    </w:p>
    <w:p w14:paraId="65C056EE" w14:textId="5838D1BE" w:rsidR="002952C1" w:rsidRDefault="008B0BEE" w:rsidP="008F4C27">
      <w:pPr>
        <w:jc w:val="both"/>
        <w:rPr>
          <w:lang w:val="lv-LV"/>
        </w:rPr>
      </w:pPr>
      <w:r>
        <w:rPr>
          <w:rFonts w:eastAsiaTheme="minorHAnsi"/>
          <w:kern w:val="2"/>
          <w:sz w:val="23"/>
          <w:szCs w:val="23"/>
          <w:lang w:val="lv-LV"/>
          <w14:ligatures w14:val="standardContextual"/>
        </w:rPr>
        <w:t>Papildus norādām, ka</w:t>
      </w:r>
      <w:r w:rsidR="0058596E">
        <w:rPr>
          <w:rFonts w:eastAsiaTheme="minorHAnsi"/>
          <w:kern w:val="2"/>
          <w:sz w:val="23"/>
          <w:szCs w:val="23"/>
          <w:lang w:val="lv-LV"/>
          <w14:ligatures w14:val="standardContextual"/>
        </w:rPr>
        <w:t xml:space="preserve"> </w:t>
      </w:r>
      <w:r>
        <w:rPr>
          <w:rFonts w:eastAsiaTheme="minorHAnsi"/>
          <w:kern w:val="2"/>
          <w:sz w:val="23"/>
          <w:szCs w:val="23"/>
          <w:lang w:val="lv-LV"/>
          <w14:ligatures w14:val="standardContextual"/>
        </w:rPr>
        <w:t xml:space="preserve"> </w:t>
      </w:r>
      <w:proofErr w:type="spellStart"/>
      <w:r>
        <w:t>Lokālajās</w:t>
      </w:r>
      <w:proofErr w:type="spellEnd"/>
      <w:r>
        <w:t xml:space="preserve"> </w:t>
      </w:r>
      <w:proofErr w:type="spellStart"/>
      <w:r>
        <w:t>tāmēs</w:t>
      </w:r>
      <w:proofErr w:type="spellEnd"/>
      <w:r w:rsidR="0058596E">
        <w:t xml:space="preserve"> Nr.2-2 </w:t>
      </w:r>
      <w:proofErr w:type="spellStart"/>
      <w:r w:rsidR="0058596E" w:rsidRPr="0058596E">
        <w:rPr>
          <w:i/>
          <w:iCs/>
        </w:rPr>
        <w:t>Iekšējie</w:t>
      </w:r>
      <w:proofErr w:type="spellEnd"/>
      <w:r w:rsidR="0058596E" w:rsidRPr="0058596E">
        <w:rPr>
          <w:i/>
          <w:iCs/>
        </w:rPr>
        <w:t xml:space="preserve"> </w:t>
      </w:r>
      <w:proofErr w:type="spellStart"/>
      <w:r w:rsidR="0058596E" w:rsidRPr="0058596E">
        <w:rPr>
          <w:i/>
          <w:iCs/>
        </w:rPr>
        <w:t>elektrotehniskie</w:t>
      </w:r>
      <w:proofErr w:type="spellEnd"/>
      <w:r w:rsidR="0058596E" w:rsidRPr="0058596E">
        <w:rPr>
          <w:i/>
          <w:iCs/>
        </w:rPr>
        <w:t xml:space="preserve"> </w:t>
      </w:r>
      <w:proofErr w:type="spellStart"/>
      <w:r w:rsidR="0058596E" w:rsidRPr="0058596E">
        <w:rPr>
          <w:i/>
          <w:iCs/>
        </w:rPr>
        <w:t>darbi</w:t>
      </w:r>
      <w:proofErr w:type="spellEnd"/>
      <w:r w:rsidR="0058596E" w:rsidRPr="0058596E">
        <w:t>.</w:t>
      </w:r>
      <w:r>
        <w:t xml:space="preserve"> </w:t>
      </w:r>
      <w:r w:rsidR="0058596E">
        <w:t xml:space="preserve">un </w:t>
      </w:r>
      <w:r w:rsidR="008F4C27">
        <w:t>Nr.2</w:t>
      </w:r>
      <w:r w:rsidR="008F4C27" w:rsidRPr="008F4C27">
        <w:rPr>
          <w:lang w:val="lv-LV"/>
        </w:rPr>
        <w:t xml:space="preserve">-3 </w:t>
      </w:r>
      <w:r w:rsidRPr="008F4C27">
        <w:rPr>
          <w:lang w:val="lv-LV"/>
        </w:rPr>
        <w:t xml:space="preserve"> </w:t>
      </w:r>
      <w:r w:rsidR="008F4C27" w:rsidRPr="0058596E">
        <w:rPr>
          <w:i/>
          <w:iCs/>
          <w:lang w:val="lv-LV"/>
        </w:rPr>
        <w:t>Iekšējie elektrotehniskie darbi. Iekārtu uzstādīšana</w:t>
      </w:r>
      <w:r w:rsidR="0058596E">
        <w:rPr>
          <w:i/>
          <w:iCs/>
          <w:lang w:val="lv-LV"/>
        </w:rPr>
        <w:t xml:space="preserve"> </w:t>
      </w:r>
      <w:r w:rsidRPr="008F4C27">
        <w:rPr>
          <w:lang w:val="lv-LV"/>
        </w:rPr>
        <w:t>pozīcij</w:t>
      </w:r>
      <w:r w:rsidR="006714A2">
        <w:rPr>
          <w:lang w:val="lv-LV"/>
        </w:rPr>
        <w:t>ā</w:t>
      </w:r>
      <w:r w:rsidRPr="008F4C27">
        <w:rPr>
          <w:lang w:val="lv-LV"/>
        </w:rPr>
        <w:t xml:space="preserve">s, kuras ir iekrāsotas zaļā krāsā </w:t>
      </w:r>
      <w:r w:rsidR="002952C1" w:rsidRPr="002952C1">
        <w:rPr>
          <w:lang w:val="lv-LV"/>
        </w:rPr>
        <w:t>materiālu iegādi veiks RP SIA "Rīgas satiksme" saskaņā ar materiālu Tehnisko specifikāciju</w:t>
      </w:r>
      <w:r w:rsidR="002952C1">
        <w:rPr>
          <w:lang w:val="lv-LV"/>
        </w:rPr>
        <w:t xml:space="preserve"> un iz</w:t>
      </w:r>
      <w:r w:rsidR="002952C1" w:rsidRPr="002952C1">
        <w:rPr>
          <w:lang w:val="lv-LV"/>
        </w:rPr>
        <w:t xml:space="preserve">maksas par RP SIA "Rīgas satiksme" iegādātajiem materiāliem (būvizstrādājumiem) nav jānorāda. Visus palīgmateriālus, stiprinājumus, montāžas materiālus un tml., kas papildus var būt nepieciešami attiecīgās pozīcijas izpildei, nodrošina </w:t>
      </w:r>
      <w:r w:rsidR="006714A2">
        <w:rPr>
          <w:lang w:val="lv-LV"/>
        </w:rPr>
        <w:t>b</w:t>
      </w:r>
      <w:r w:rsidR="002952C1" w:rsidRPr="002952C1">
        <w:rPr>
          <w:lang w:val="lv-LV"/>
        </w:rPr>
        <w:t>ūvuzņēmējs.</w:t>
      </w:r>
    </w:p>
    <w:p w14:paraId="0047B276" w14:textId="1ED3C7FF" w:rsidR="008B0BEE" w:rsidRPr="008F4C27" w:rsidRDefault="008B0BEE" w:rsidP="008F4C27">
      <w:pPr>
        <w:jc w:val="both"/>
        <w:rPr>
          <w:sz w:val="22"/>
          <w:szCs w:val="22"/>
          <w:lang w:val="lv-LV"/>
        </w:rPr>
      </w:pPr>
      <w:r w:rsidRPr="008F4C27">
        <w:rPr>
          <w:lang w:val="lv-LV"/>
        </w:rPr>
        <w:t>Pārējām tāmes pozīcijām ir jāuzrada visas izmaksas (darba alga, būvizstrādājumi, mehānismi).</w:t>
      </w:r>
    </w:p>
    <w:p w14:paraId="01F02186" w14:textId="59960526" w:rsidR="008B0BEE" w:rsidRPr="008F4C27" w:rsidRDefault="008B0BEE" w:rsidP="00083719">
      <w:pPr>
        <w:jc w:val="both"/>
        <w:rPr>
          <w:rFonts w:eastAsiaTheme="minorHAnsi"/>
          <w:kern w:val="2"/>
          <w:sz w:val="23"/>
          <w:szCs w:val="23"/>
          <w:lang w:val="lv-LV"/>
          <w14:ligatures w14:val="standardContextual"/>
        </w:rPr>
      </w:pPr>
    </w:p>
    <w:p w14:paraId="5D7DD492" w14:textId="41F7DBDC" w:rsidR="000C05B8" w:rsidRPr="00835510" w:rsidRDefault="000C05B8" w:rsidP="00EF5950">
      <w:pPr>
        <w:jc w:val="both"/>
        <w:rPr>
          <w:b/>
          <w:bCs/>
          <w:lang w:val="lv-LV"/>
        </w:rPr>
      </w:pPr>
    </w:p>
    <w:p w14:paraId="1AEDAA6D" w14:textId="77777777" w:rsidR="000C05B8" w:rsidRDefault="000C05B8" w:rsidP="00EF5950">
      <w:pPr>
        <w:jc w:val="both"/>
        <w:rPr>
          <w:i/>
          <w:iCs/>
          <w:lang w:val="lv-LV"/>
        </w:rPr>
      </w:pPr>
    </w:p>
    <w:p w14:paraId="43C3F63F" w14:textId="77777777" w:rsidR="006714A2" w:rsidRDefault="006714A2" w:rsidP="005E5BEA">
      <w:pPr>
        <w:jc w:val="both"/>
        <w:rPr>
          <w:b/>
          <w:bCs/>
          <w:i/>
          <w:iCs/>
        </w:rPr>
      </w:pPr>
    </w:p>
    <w:p w14:paraId="324F15B3" w14:textId="16D35080" w:rsidR="005E5BEA" w:rsidRPr="005E5BEA" w:rsidRDefault="005E5BEA" w:rsidP="005E5BEA">
      <w:pPr>
        <w:jc w:val="both"/>
        <w:rPr>
          <w:rFonts w:eastAsiaTheme="minorHAnsi"/>
          <w:i/>
          <w:iCs/>
        </w:rPr>
      </w:pPr>
      <w:r w:rsidRPr="005E5BEA">
        <w:rPr>
          <w:b/>
          <w:bCs/>
          <w:i/>
          <w:iCs/>
        </w:rPr>
        <w:lastRenderedPageBreak/>
        <w:t>2. jautājums</w:t>
      </w:r>
      <w:r w:rsidRPr="005E5BEA">
        <w:rPr>
          <w:i/>
          <w:iCs/>
        </w:rPr>
        <w:t xml:space="preserve">: </w:t>
      </w:r>
      <w:r w:rsidRPr="005E5BEA">
        <w:rPr>
          <w:rFonts w:eastAsiaTheme="minorHAnsi"/>
          <w:i/>
          <w:iCs/>
        </w:rPr>
        <w:t>Konkursa dokumentācijas failā (4.45 EL.IS №4) ir uzskaitīts darbu un materiālu apjoms priekš elektroapgādes iekšējiem tīkliem 1.kārtai, bet konkursa cenu sarakstā (5.pielikums) par šiem apjomiem vispār nekas nav minēts. Lūgums precizēt veicamo darbu apjomu!</w:t>
      </w:r>
    </w:p>
    <w:p w14:paraId="369557FD" w14:textId="1F0031B2" w:rsidR="000C05B8" w:rsidRDefault="000C05B8" w:rsidP="00EF5950">
      <w:pPr>
        <w:jc w:val="both"/>
        <w:rPr>
          <w:i/>
          <w:iCs/>
          <w:lang w:val="lv-LV"/>
        </w:rPr>
      </w:pPr>
    </w:p>
    <w:p w14:paraId="3AC39594" w14:textId="33D1AAED" w:rsidR="005E5BEA" w:rsidRPr="006E7CD4" w:rsidRDefault="005E5BEA" w:rsidP="005E5BEA">
      <w:pPr>
        <w:jc w:val="both"/>
        <w:rPr>
          <w:rFonts w:eastAsiaTheme="minorHAnsi"/>
          <w:kern w:val="2"/>
          <w:sz w:val="23"/>
          <w:szCs w:val="23"/>
          <w:lang w:val="lv-LV"/>
          <w14:ligatures w14:val="standardContextual"/>
        </w:rPr>
      </w:pPr>
      <w:r w:rsidRPr="005E5BEA">
        <w:rPr>
          <w:b/>
          <w:bCs/>
          <w:lang w:val="lv-LV"/>
        </w:rPr>
        <w:t>Atbilde:</w:t>
      </w:r>
      <w:r w:rsidRPr="005E5BEA">
        <w:rPr>
          <w:lang w:val="lv-LV"/>
        </w:rPr>
        <w:t xml:space="preserve"> </w:t>
      </w:r>
      <w:r>
        <w:rPr>
          <w:lang w:val="lv-LV"/>
        </w:rPr>
        <w:t>Informējam, ka nolikumā ir</w:t>
      </w:r>
      <w:r w:rsidRPr="00B05E4E">
        <w:rPr>
          <w:rFonts w:eastAsiaTheme="minorHAnsi"/>
          <w:kern w:val="2"/>
          <w:lang w:val="lv-LV"/>
          <w14:ligatures w14:val="standardContextual"/>
        </w:rPr>
        <w:t xml:space="preserve"> veikti grozījumi. Lūdzam sekot informācijai </w:t>
      </w:r>
      <w:hyperlink r:id="rId25" w:history="1">
        <w:r w:rsidRPr="00B05E4E">
          <w:rPr>
            <w:rFonts w:eastAsiaTheme="minorHAnsi"/>
            <w:color w:val="0563C1"/>
            <w:kern w:val="2"/>
            <w:u w:val="single"/>
            <w:lang w:val="lv-LV"/>
            <w14:ligatures w14:val="standardContextual"/>
          </w:rPr>
          <w:t>www.eis.gov.lv</w:t>
        </w:r>
      </w:hyperlink>
      <w:r w:rsidRPr="00B05E4E">
        <w:rPr>
          <w:rFonts w:eastAsiaTheme="minorHAnsi"/>
          <w:kern w:val="2"/>
          <w:lang w:val="lv-LV"/>
          <w14:ligatures w14:val="standardContextual"/>
        </w:rPr>
        <w:t xml:space="preserve"> un </w:t>
      </w:r>
      <w:hyperlink r:id="rId26" w:history="1">
        <w:r w:rsidRPr="00B05E4E">
          <w:rPr>
            <w:rFonts w:eastAsiaTheme="minorHAnsi"/>
            <w:color w:val="0563C1"/>
            <w:kern w:val="2"/>
            <w:u w:val="single"/>
            <w:lang w:val="lv-LV"/>
            <w14:ligatures w14:val="standardContextual"/>
          </w:rPr>
          <w:t>www.rigassatiksme.lv</w:t>
        </w:r>
      </w:hyperlink>
      <w:r w:rsidRPr="006E7CD4">
        <w:rPr>
          <w:rFonts w:eastAsiaTheme="minorHAnsi"/>
          <w:kern w:val="2"/>
          <w:sz w:val="23"/>
          <w:szCs w:val="23"/>
          <w:lang w:val="lv-LV"/>
          <w14:ligatures w14:val="standardContextual"/>
        </w:rPr>
        <w:t>.</w:t>
      </w:r>
    </w:p>
    <w:p w14:paraId="7065B2D2" w14:textId="7C4E2A2D" w:rsidR="005E5BEA" w:rsidRPr="005E5BEA" w:rsidRDefault="005E5BEA" w:rsidP="00EF5950">
      <w:pPr>
        <w:jc w:val="both"/>
        <w:rPr>
          <w:b/>
          <w:bCs/>
          <w:lang w:val="lv-LV"/>
        </w:rPr>
      </w:pPr>
    </w:p>
    <w:p w14:paraId="345C07DA" w14:textId="77777777" w:rsidR="008748F6" w:rsidRPr="00B05E4E" w:rsidRDefault="008748F6" w:rsidP="008748F6">
      <w:pPr>
        <w:jc w:val="both"/>
        <w:rPr>
          <w:rFonts w:eastAsiaTheme="minorHAnsi"/>
          <w:b/>
          <w:bCs/>
        </w:rPr>
      </w:pPr>
    </w:p>
    <w:p w14:paraId="00ED7007" w14:textId="77777777" w:rsidR="008748F6" w:rsidRPr="006E7CD4" w:rsidRDefault="008748F6" w:rsidP="008748F6">
      <w:pPr>
        <w:jc w:val="both"/>
        <w:rPr>
          <w:rFonts w:eastAsiaTheme="minorHAnsi"/>
          <w:b/>
          <w:bCs/>
          <w:kern w:val="2"/>
          <w:sz w:val="23"/>
          <w:szCs w:val="23"/>
          <w:lang w:val="lv-LV"/>
          <w14:ligatures w14:val="standardContextual"/>
        </w:rPr>
      </w:pPr>
    </w:p>
    <w:p w14:paraId="2FEF5CC3" w14:textId="77777777" w:rsidR="008748F6" w:rsidRPr="006E7CD4" w:rsidRDefault="008748F6" w:rsidP="008748F6">
      <w:pPr>
        <w:jc w:val="both"/>
        <w:rPr>
          <w:rFonts w:eastAsiaTheme="minorHAnsi"/>
          <w:b/>
          <w:bCs/>
          <w:kern w:val="2"/>
          <w:sz w:val="23"/>
          <w:szCs w:val="23"/>
          <w:lang w:val="lv-LV"/>
          <w14:ligatures w14:val="standardContextual"/>
        </w:rPr>
      </w:pPr>
    </w:p>
    <w:p w14:paraId="0CC682BB" w14:textId="77777777" w:rsidR="008748F6" w:rsidRPr="006E7CD4" w:rsidRDefault="008748F6" w:rsidP="008748F6">
      <w:pPr>
        <w:ind w:right="-8"/>
        <w:jc w:val="both"/>
        <w:outlineLvl w:val="0"/>
        <w:rPr>
          <w:sz w:val="23"/>
          <w:szCs w:val="23"/>
          <w:lang w:val="lv-LV"/>
        </w:rPr>
      </w:pPr>
      <w:r w:rsidRPr="006E7CD4">
        <w:rPr>
          <w:sz w:val="23"/>
          <w:szCs w:val="23"/>
          <w:lang w:val="lv-LV"/>
        </w:rPr>
        <w:t xml:space="preserve">Iepirkumu komisijas priekšsēdētāja                                                                             </w:t>
      </w:r>
      <w:r>
        <w:rPr>
          <w:sz w:val="23"/>
          <w:szCs w:val="23"/>
          <w:lang w:val="lv-LV"/>
        </w:rPr>
        <w:t xml:space="preserve">                </w:t>
      </w:r>
      <w:r w:rsidRPr="006E7CD4">
        <w:rPr>
          <w:sz w:val="23"/>
          <w:szCs w:val="23"/>
          <w:lang w:val="lv-LV"/>
        </w:rPr>
        <w:t>I.</w:t>
      </w:r>
      <w:r>
        <w:rPr>
          <w:sz w:val="23"/>
          <w:szCs w:val="23"/>
          <w:lang w:val="lv-LV"/>
        </w:rPr>
        <w:t>Novika</w:t>
      </w:r>
    </w:p>
    <w:sectPr w:rsidR="008748F6" w:rsidRPr="006E7CD4" w:rsidSect="00AD6E80">
      <w:headerReference w:type="even" r:id="rId27"/>
      <w:headerReference w:type="default" r:id="rId28"/>
      <w:footerReference w:type="even" r:id="rId29"/>
      <w:footerReference w:type="default" r:id="rId30"/>
      <w:headerReference w:type="first" r:id="rId31"/>
      <w:footerReference w:type="first" r:id="rId32"/>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622EA"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07039"/>
    <w:multiLevelType w:val="hybridMultilevel"/>
    <w:tmpl w:val="6BE811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6B4702B"/>
    <w:multiLevelType w:val="hybridMultilevel"/>
    <w:tmpl w:val="6BE8114A"/>
    <w:lvl w:ilvl="0" w:tplc="7DCC94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3"/>
  </w:num>
  <w:num w:numId="3" w16cid:durableId="144784028">
    <w:abstractNumId w:val="2"/>
  </w:num>
  <w:num w:numId="4" w16cid:durableId="210646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23617"/>
    <w:rsid w:val="0004286D"/>
    <w:rsid w:val="000525F0"/>
    <w:rsid w:val="00083719"/>
    <w:rsid w:val="00083E27"/>
    <w:rsid w:val="000C05B8"/>
    <w:rsid w:val="00176AEB"/>
    <w:rsid w:val="001B000D"/>
    <w:rsid w:val="001B3D16"/>
    <w:rsid w:val="001C1098"/>
    <w:rsid w:val="001D43D0"/>
    <w:rsid w:val="001E5FEF"/>
    <w:rsid w:val="00233FCE"/>
    <w:rsid w:val="002427F3"/>
    <w:rsid w:val="002430F1"/>
    <w:rsid w:val="002952C1"/>
    <w:rsid w:val="002C6950"/>
    <w:rsid w:val="002E0214"/>
    <w:rsid w:val="002E786C"/>
    <w:rsid w:val="003074ED"/>
    <w:rsid w:val="00307C67"/>
    <w:rsid w:val="003159BE"/>
    <w:rsid w:val="00325A6F"/>
    <w:rsid w:val="0033601F"/>
    <w:rsid w:val="00384C24"/>
    <w:rsid w:val="003877B2"/>
    <w:rsid w:val="003A76FA"/>
    <w:rsid w:val="003B4368"/>
    <w:rsid w:val="003C2FBA"/>
    <w:rsid w:val="003C7524"/>
    <w:rsid w:val="004124BC"/>
    <w:rsid w:val="00446224"/>
    <w:rsid w:val="00454D63"/>
    <w:rsid w:val="00491E45"/>
    <w:rsid w:val="00495061"/>
    <w:rsid w:val="004A0D6C"/>
    <w:rsid w:val="004C2F01"/>
    <w:rsid w:val="004C4EA1"/>
    <w:rsid w:val="004E7F38"/>
    <w:rsid w:val="004F53CC"/>
    <w:rsid w:val="004F581B"/>
    <w:rsid w:val="0054525F"/>
    <w:rsid w:val="0058596E"/>
    <w:rsid w:val="005C7FFA"/>
    <w:rsid w:val="005D077F"/>
    <w:rsid w:val="005D3F37"/>
    <w:rsid w:val="005E5BEA"/>
    <w:rsid w:val="005F53B6"/>
    <w:rsid w:val="00611305"/>
    <w:rsid w:val="006339F1"/>
    <w:rsid w:val="006714A2"/>
    <w:rsid w:val="00681D93"/>
    <w:rsid w:val="006874A7"/>
    <w:rsid w:val="00697421"/>
    <w:rsid w:val="006A57AF"/>
    <w:rsid w:val="006A672C"/>
    <w:rsid w:val="006B7CC0"/>
    <w:rsid w:val="00712459"/>
    <w:rsid w:val="00756CAE"/>
    <w:rsid w:val="007857EA"/>
    <w:rsid w:val="007875D1"/>
    <w:rsid w:val="007A34BE"/>
    <w:rsid w:val="007D62F7"/>
    <w:rsid w:val="008034ED"/>
    <w:rsid w:val="00832355"/>
    <w:rsid w:val="00835510"/>
    <w:rsid w:val="008533C8"/>
    <w:rsid w:val="008748F6"/>
    <w:rsid w:val="00897911"/>
    <w:rsid w:val="008B0BEE"/>
    <w:rsid w:val="008C09E2"/>
    <w:rsid w:val="008E3092"/>
    <w:rsid w:val="008E4C93"/>
    <w:rsid w:val="008F4C27"/>
    <w:rsid w:val="00901C98"/>
    <w:rsid w:val="00904B48"/>
    <w:rsid w:val="009134FF"/>
    <w:rsid w:val="00931737"/>
    <w:rsid w:val="009604F6"/>
    <w:rsid w:val="00991D6D"/>
    <w:rsid w:val="009A7C87"/>
    <w:rsid w:val="00A075D3"/>
    <w:rsid w:val="00A10EC0"/>
    <w:rsid w:val="00A3285A"/>
    <w:rsid w:val="00A36F5E"/>
    <w:rsid w:val="00A52673"/>
    <w:rsid w:val="00A55640"/>
    <w:rsid w:val="00A60530"/>
    <w:rsid w:val="00A615B2"/>
    <w:rsid w:val="00A90154"/>
    <w:rsid w:val="00AA0E4F"/>
    <w:rsid w:val="00AB152E"/>
    <w:rsid w:val="00AB7FC2"/>
    <w:rsid w:val="00AD6E80"/>
    <w:rsid w:val="00B05E4E"/>
    <w:rsid w:val="00B17037"/>
    <w:rsid w:val="00B67B48"/>
    <w:rsid w:val="00BA1D4B"/>
    <w:rsid w:val="00C037B9"/>
    <w:rsid w:val="00C2117D"/>
    <w:rsid w:val="00C84969"/>
    <w:rsid w:val="00C950CD"/>
    <w:rsid w:val="00C96B4F"/>
    <w:rsid w:val="00CA73ED"/>
    <w:rsid w:val="00CF54FA"/>
    <w:rsid w:val="00D43D83"/>
    <w:rsid w:val="00D54DAE"/>
    <w:rsid w:val="00D81F1C"/>
    <w:rsid w:val="00D86507"/>
    <w:rsid w:val="00DA0C26"/>
    <w:rsid w:val="00DC6352"/>
    <w:rsid w:val="00DE75F0"/>
    <w:rsid w:val="00E3203C"/>
    <w:rsid w:val="00E6462D"/>
    <w:rsid w:val="00E94DDB"/>
    <w:rsid w:val="00E97938"/>
    <w:rsid w:val="00EB089E"/>
    <w:rsid w:val="00EB7787"/>
    <w:rsid w:val="00EF5950"/>
    <w:rsid w:val="00F01C15"/>
    <w:rsid w:val="00F213A8"/>
    <w:rsid w:val="00F50046"/>
    <w:rsid w:val="00F527AA"/>
    <w:rsid w:val="00F631D4"/>
    <w:rsid w:val="00F730B5"/>
    <w:rsid w:val="00F83C9D"/>
    <w:rsid w:val="00F84DED"/>
    <w:rsid w:val="00F93998"/>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F730B5"/>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4290">
      <w:bodyDiv w:val="1"/>
      <w:marLeft w:val="0"/>
      <w:marRight w:val="0"/>
      <w:marTop w:val="0"/>
      <w:marBottom w:val="0"/>
      <w:divBdr>
        <w:top w:val="none" w:sz="0" w:space="0" w:color="auto"/>
        <w:left w:val="none" w:sz="0" w:space="0" w:color="auto"/>
        <w:bottom w:val="none" w:sz="0" w:space="0" w:color="auto"/>
        <w:right w:val="none" w:sz="0" w:space="0" w:color="auto"/>
      </w:divBdr>
    </w:div>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rigassatiksme.lv"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eis.gov.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igassatiksme.lv"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eis.gov.lv"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2172</Words>
  <Characters>1239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34</cp:revision>
  <cp:lastPrinted>2021-09-09T02:05:00Z</cp:lastPrinted>
  <dcterms:created xsi:type="dcterms:W3CDTF">2024-08-13T06:50:00Z</dcterms:created>
  <dcterms:modified xsi:type="dcterms:W3CDTF">2024-08-13T12:33:00Z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