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476" w14:textId="1AD9176C" w:rsidR="001D43D0" w:rsidRPr="004D0719" w:rsidRDefault="001D43D0" w:rsidP="001C1098">
      <w:pPr>
        <w:rPr>
          <w:lang w:val="lv-LV"/>
        </w:rPr>
      </w:pPr>
    </w:p>
    <w:p w14:paraId="60F0D534" w14:textId="77777777" w:rsidR="009A42BA" w:rsidRPr="004D0719" w:rsidRDefault="009A42BA" w:rsidP="00F84E18">
      <w:pPr>
        <w:tabs>
          <w:tab w:val="left" w:pos="340"/>
          <w:tab w:val="right" w:pos="9355"/>
        </w:tabs>
        <w:ind w:right="-45"/>
        <w:jc w:val="both"/>
        <w:rPr>
          <w:lang w:val="lv-LV"/>
        </w:rPr>
      </w:pPr>
    </w:p>
    <w:p w14:paraId="0B31FAE2" w14:textId="00664A36" w:rsidR="00F84E18" w:rsidRPr="004D0719" w:rsidRDefault="00595CE2" w:rsidP="00F84E18">
      <w:pPr>
        <w:tabs>
          <w:tab w:val="left" w:pos="340"/>
          <w:tab w:val="right" w:pos="9355"/>
        </w:tabs>
        <w:ind w:right="-45"/>
        <w:jc w:val="both"/>
        <w:rPr>
          <w:lang w:val="lv-LV"/>
        </w:rPr>
      </w:pPr>
      <w:r>
        <w:rPr>
          <w:lang w:val="lv-LV"/>
        </w:rPr>
        <w:t>30</w:t>
      </w:r>
      <w:r w:rsidR="00F84E18" w:rsidRPr="004D0719">
        <w:rPr>
          <w:lang w:val="lv-LV"/>
        </w:rPr>
        <w:t>.</w:t>
      </w:r>
      <w:r w:rsidR="00B31E15" w:rsidRPr="004D0719">
        <w:rPr>
          <w:lang w:val="lv-LV"/>
        </w:rPr>
        <w:t>0</w:t>
      </w:r>
      <w:r w:rsidR="008A046C" w:rsidRPr="004D0719">
        <w:rPr>
          <w:lang w:val="lv-LV"/>
        </w:rPr>
        <w:t>4</w:t>
      </w:r>
      <w:r w:rsidR="00F84E18" w:rsidRPr="004D0719">
        <w:rPr>
          <w:lang w:val="lv-LV"/>
        </w:rPr>
        <w:t>.202</w:t>
      </w:r>
      <w:r w:rsidR="00B31E15" w:rsidRPr="004D0719">
        <w:rPr>
          <w:lang w:val="lv-LV"/>
        </w:rPr>
        <w:t>4</w:t>
      </w:r>
      <w:r w:rsidR="00F84E18" w:rsidRPr="004D0719">
        <w:rPr>
          <w:lang w:val="lv-LV"/>
        </w:rPr>
        <w:t>.</w:t>
      </w:r>
    </w:p>
    <w:p w14:paraId="56FBA67D" w14:textId="77777777" w:rsidR="00601A33" w:rsidRPr="004D0719" w:rsidRDefault="00601A33" w:rsidP="00F84E18">
      <w:pPr>
        <w:tabs>
          <w:tab w:val="left" w:pos="340"/>
          <w:tab w:val="right" w:pos="9355"/>
        </w:tabs>
        <w:ind w:right="-45"/>
        <w:jc w:val="right"/>
        <w:rPr>
          <w:i/>
          <w:iCs/>
          <w:lang w:val="lv-LV" w:eastAsia="lv-LV"/>
        </w:rPr>
      </w:pPr>
    </w:p>
    <w:p w14:paraId="05447E2E" w14:textId="7FBCADDE" w:rsidR="00F84E18" w:rsidRPr="004D0719" w:rsidRDefault="00F84E18" w:rsidP="001A536B">
      <w:pPr>
        <w:ind w:right="4103"/>
        <w:jc w:val="both"/>
        <w:rPr>
          <w:i/>
          <w:lang w:val="lv-LV"/>
        </w:rPr>
      </w:pPr>
      <w:r w:rsidRPr="004D0719">
        <w:rPr>
          <w:i/>
          <w:lang w:val="lv-LV"/>
        </w:rPr>
        <w:t xml:space="preserve">Par iepirkumu procedūras </w:t>
      </w:r>
      <w:r w:rsidR="001A536B" w:rsidRPr="004D0719">
        <w:rPr>
          <w:i/>
          <w:lang w:val="lv-LV"/>
        </w:rPr>
        <w:t xml:space="preserve">“Elektronisko kontroles iekārtu norēķinu un pārvaldības sistēmas izstrāde un uzturēšana, un iekārtu piegāde, uzstādīšana un apkalpošana” (ID Nr. RS 2024/22) </w:t>
      </w:r>
      <w:r w:rsidRPr="004D0719">
        <w:rPr>
          <w:i/>
          <w:lang w:val="lv-LV"/>
        </w:rPr>
        <w:t>nolikuma prasībām</w:t>
      </w:r>
    </w:p>
    <w:p w14:paraId="2FA968AE" w14:textId="77777777" w:rsidR="00F84E18" w:rsidRPr="004D0719" w:rsidRDefault="00F84E18" w:rsidP="00F84E18">
      <w:pPr>
        <w:tabs>
          <w:tab w:val="right" w:pos="9355"/>
        </w:tabs>
        <w:ind w:right="-45"/>
        <w:jc w:val="both"/>
        <w:rPr>
          <w:lang w:val="lv-LV"/>
        </w:rPr>
      </w:pPr>
    </w:p>
    <w:p w14:paraId="11219702" w14:textId="423F7085" w:rsidR="00F84E18" w:rsidRPr="004D0719" w:rsidRDefault="00F84E18" w:rsidP="00F84E18">
      <w:pPr>
        <w:tabs>
          <w:tab w:val="right" w:pos="9355"/>
        </w:tabs>
        <w:ind w:right="-45" w:firstLine="426"/>
        <w:jc w:val="both"/>
        <w:rPr>
          <w:lang w:val="lv-LV"/>
        </w:rPr>
      </w:pPr>
      <w:r w:rsidRPr="004D0719">
        <w:rPr>
          <w:lang w:val="lv-LV"/>
        </w:rPr>
        <w:t>Rīgas pašvaldības sabiedrības ar ierobežotu atbildību „Rīgas satiksme” (turpmāk – Pasūtītājs) Iepirkuma komisija no iespējamā pretendenta ir saņēmusi jautājumu</w:t>
      </w:r>
      <w:r w:rsidR="00453BF8">
        <w:rPr>
          <w:lang w:val="lv-LV"/>
        </w:rPr>
        <w:t>s</w:t>
      </w:r>
      <w:r w:rsidRPr="004D0719">
        <w:rPr>
          <w:lang w:val="lv-LV"/>
        </w:rPr>
        <w:t xml:space="preserve"> par </w:t>
      </w:r>
      <w:r w:rsidR="00D31D14" w:rsidRPr="004D0719">
        <w:rPr>
          <w:lang w:val="lv-LV"/>
        </w:rPr>
        <w:t>atklāta konkursa</w:t>
      </w:r>
      <w:r w:rsidRPr="004D0719">
        <w:rPr>
          <w:lang w:val="lv-LV"/>
        </w:rPr>
        <w:t xml:space="preserve"> “</w:t>
      </w:r>
      <w:r w:rsidR="000D003C" w:rsidRPr="004D0719">
        <w:rPr>
          <w:lang w:val="lv-LV"/>
        </w:rPr>
        <w:t>Elektronisko kontroles iekārtu norēķinu un pārvaldības sistēmas izstrāde un uzturēšana, un iekārtu piegāde, uzstādīšana un apkalpošana</w:t>
      </w:r>
      <w:r w:rsidRPr="004D0719">
        <w:rPr>
          <w:lang w:val="lv-LV"/>
        </w:rPr>
        <w:t xml:space="preserve">” (ID Nr. </w:t>
      </w:r>
      <w:r w:rsidR="004E3DE4" w:rsidRPr="004D0719">
        <w:rPr>
          <w:lang w:val="lv-LV"/>
        </w:rPr>
        <w:t>RS 202</w:t>
      </w:r>
      <w:r w:rsidR="00070F05">
        <w:rPr>
          <w:lang w:val="lv-LV"/>
        </w:rPr>
        <w:t>4</w:t>
      </w:r>
      <w:r w:rsidR="004E3DE4" w:rsidRPr="004D0719">
        <w:rPr>
          <w:lang w:val="lv-LV"/>
        </w:rPr>
        <w:t>/</w:t>
      </w:r>
      <w:r w:rsidR="001A536B" w:rsidRPr="004D0719">
        <w:rPr>
          <w:lang w:val="lv-LV"/>
        </w:rPr>
        <w:t>22</w:t>
      </w:r>
      <w:r w:rsidRPr="004D0719">
        <w:rPr>
          <w:lang w:val="lv-LV"/>
        </w:rPr>
        <w:t xml:space="preserve">) (turpmāk </w:t>
      </w:r>
      <w:r w:rsidR="00D31D14" w:rsidRPr="004D0719">
        <w:rPr>
          <w:lang w:val="lv-LV"/>
        </w:rPr>
        <w:t xml:space="preserve"> Atklāts konkurss</w:t>
      </w:r>
      <w:r w:rsidRPr="004D0719">
        <w:rPr>
          <w:lang w:val="lv-LV"/>
        </w:rPr>
        <w:t xml:space="preserve">) nolikuma prasībām. </w:t>
      </w:r>
    </w:p>
    <w:p w14:paraId="1B3E17AE" w14:textId="77777777" w:rsidR="002916E0" w:rsidRPr="004D0719" w:rsidRDefault="002916E0" w:rsidP="002916E0">
      <w:pPr>
        <w:ind w:right="372"/>
        <w:jc w:val="both"/>
        <w:rPr>
          <w:lang w:val="lv-LV"/>
        </w:rPr>
      </w:pPr>
    </w:p>
    <w:p w14:paraId="548BFFD1" w14:textId="77777777" w:rsidR="00570002" w:rsidRPr="004D0719" w:rsidRDefault="00570002" w:rsidP="00570002">
      <w:pPr>
        <w:tabs>
          <w:tab w:val="right" w:pos="9355"/>
        </w:tabs>
        <w:ind w:right="-45"/>
        <w:jc w:val="both"/>
        <w:rPr>
          <w:b/>
          <w:bCs/>
          <w:lang w:val="lv-LV"/>
        </w:rPr>
      </w:pPr>
      <w:r w:rsidRPr="004D0719">
        <w:rPr>
          <w:b/>
          <w:bCs/>
          <w:lang w:val="lv-LV"/>
        </w:rPr>
        <w:t>1. jautājums:</w:t>
      </w:r>
    </w:p>
    <w:p w14:paraId="3B401C17" w14:textId="77777777" w:rsidR="003B15D3" w:rsidRPr="004D0719" w:rsidRDefault="003B15D3" w:rsidP="003B15D3">
      <w:pPr>
        <w:ind w:firstLine="720"/>
        <w:jc w:val="both"/>
        <w:rPr>
          <w:bCs/>
          <w:lang w:val="lv-LV" w:eastAsia="ar-SA"/>
        </w:rPr>
      </w:pPr>
      <w:r w:rsidRPr="004D0719">
        <w:rPr>
          <w:bCs/>
          <w:lang w:val="lv-LV" w:eastAsia="ar-SA"/>
        </w:rPr>
        <w:t>Tehniskā specifikācijā punkts 2.5.7. nosaka, ka Izpildītājam jānodrošina testa maksājumu karte norēķinu veikšanai.</w:t>
      </w:r>
    </w:p>
    <w:p w14:paraId="25826C95" w14:textId="77777777" w:rsidR="003B15D3" w:rsidRPr="004D0719" w:rsidRDefault="003B15D3" w:rsidP="003B15D3">
      <w:pPr>
        <w:ind w:firstLine="720"/>
        <w:jc w:val="both"/>
        <w:rPr>
          <w:bCs/>
          <w:lang w:val="lv-LV" w:eastAsia="ar-SA"/>
        </w:rPr>
      </w:pPr>
      <w:r w:rsidRPr="004D0719">
        <w:rPr>
          <w:bCs/>
          <w:lang w:val="lv-LV" w:eastAsia="ar-SA"/>
        </w:rPr>
        <w:t xml:space="preserve">Lūdzu precizēt, vai testa karte tiek domāta tikai maksājuma funkciju pārbaudēm? </w:t>
      </w:r>
    </w:p>
    <w:p w14:paraId="178C5BE2" w14:textId="77777777" w:rsidR="003B15D3" w:rsidRPr="004D0719" w:rsidRDefault="003B15D3" w:rsidP="003B15D3">
      <w:pPr>
        <w:ind w:firstLine="720"/>
        <w:jc w:val="both"/>
        <w:rPr>
          <w:bCs/>
          <w:lang w:val="lv-LV" w:eastAsia="ar-SA"/>
        </w:rPr>
      </w:pPr>
      <w:r w:rsidRPr="004D0719">
        <w:rPr>
          <w:bCs/>
          <w:lang w:val="lv-LV" w:eastAsia="ar-SA"/>
        </w:rPr>
        <w:t>Vai jānodrošina lai šī karte būtu pasūtītāja īpašumā?</w:t>
      </w:r>
    </w:p>
    <w:p w14:paraId="39F65C4F" w14:textId="77777777" w:rsidR="003B15D3" w:rsidRPr="004D0719" w:rsidRDefault="003B15D3" w:rsidP="00F20017">
      <w:pPr>
        <w:ind w:firstLine="720"/>
        <w:jc w:val="both"/>
        <w:rPr>
          <w:bCs/>
          <w:lang w:val="lv-LV" w:eastAsia="ar-SA"/>
        </w:rPr>
      </w:pPr>
    </w:p>
    <w:p w14:paraId="0E42583D" w14:textId="34138CD0" w:rsidR="00E9117F" w:rsidRPr="004D0719" w:rsidRDefault="00F20017" w:rsidP="00E9117F">
      <w:pPr>
        <w:tabs>
          <w:tab w:val="right" w:pos="9355"/>
        </w:tabs>
        <w:ind w:right="-45"/>
        <w:jc w:val="both"/>
        <w:outlineLvl w:val="0"/>
        <w:rPr>
          <w:b/>
          <w:bCs/>
          <w:iCs/>
          <w:lang w:val="lv-LV"/>
        </w:rPr>
      </w:pPr>
      <w:r w:rsidRPr="004D0719">
        <w:rPr>
          <w:b/>
          <w:bCs/>
          <w:iCs/>
          <w:lang w:val="lv-LV"/>
        </w:rPr>
        <w:t>1</w:t>
      </w:r>
      <w:r w:rsidR="00E9117F" w:rsidRPr="004D0719">
        <w:rPr>
          <w:b/>
          <w:bCs/>
          <w:iCs/>
          <w:lang w:val="lv-LV"/>
        </w:rPr>
        <w:t>.atbilde:</w:t>
      </w:r>
    </w:p>
    <w:p w14:paraId="371E1099" w14:textId="68928BA4" w:rsidR="005314A2" w:rsidRDefault="00B321F4" w:rsidP="00B321F4">
      <w:pPr>
        <w:ind w:right="-7" w:firstLine="720"/>
        <w:jc w:val="both"/>
        <w:rPr>
          <w:lang w:val="lv-LV"/>
        </w:rPr>
      </w:pPr>
      <w:r w:rsidRPr="00B321F4">
        <w:rPr>
          <w:lang w:val="lv-LV"/>
        </w:rPr>
        <w:t>Jā, karte ir paredzēta tikai Izpildītājam maksājuma funkciju pārbaudēm. Maksājuma karte ir paredzēta izstrādes gaitā nepieciešamajiem testiem un tā paliek Izpildītāja īpašumā, lai spētu veikt nepieciešamos funkcionalitātes pārbaudes apkalpošanai un uzturēšanai.</w:t>
      </w:r>
    </w:p>
    <w:p w14:paraId="08323E76" w14:textId="77777777" w:rsidR="00B321F4" w:rsidRPr="004D0719" w:rsidRDefault="00B321F4" w:rsidP="002916E0">
      <w:pPr>
        <w:ind w:right="372"/>
        <w:jc w:val="both"/>
        <w:rPr>
          <w:lang w:val="lv-LV"/>
        </w:rPr>
      </w:pPr>
    </w:p>
    <w:p w14:paraId="50415DFB" w14:textId="12909AD2" w:rsidR="003B15D3" w:rsidRPr="004D0719" w:rsidRDefault="003B15D3" w:rsidP="003B15D3">
      <w:pPr>
        <w:tabs>
          <w:tab w:val="right" w:pos="9355"/>
        </w:tabs>
        <w:ind w:right="-45"/>
        <w:jc w:val="both"/>
        <w:rPr>
          <w:b/>
          <w:bCs/>
          <w:lang w:val="lv-LV"/>
        </w:rPr>
      </w:pPr>
      <w:r w:rsidRPr="004D0719">
        <w:rPr>
          <w:b/>
          <w:bCs/>
          <w:lang w:val="lv-LV"/>
        </w:rPr>
        <w:t>2. jautājums:</w:t>
      </w:r>
    </w:p>
    <w:p w14:paraId="2BF4CE4C" w14:textId="77777777" w:rsidR="00A43FA2" w:rsidRPr="004D0719" w:rsidRDefault="00A43FA2" w:rsidP="00A43FA2">
      <w:pPr>
        <w:ind w:right="372" w:firstLine="720"/>
        <w:jc w:val="both"/>
        <w:rPr>
          <w:lang w:val="lv-LV"/>
        </w:rPr>
      </w:pPr>
      <w:r w:rsidRPr="004D0719">
        <w:rPr>
          <w:lang w:val="lv-LV"/>
        </w:rPr>
        <w:t>Tehniskā specifikācija punkts 2.3. nosaka pakalpojuma apjomu un izpildes termiņus.</w:t>
      </w:r>
    </w:p>
    <w:p w14:paraId="699B09EE" w14:textId="77777777" w:rsidR="00A43FA2" w:rsidRPr="004D0719" w:rsidRDefault="00A43FA2" w:rsidP="00A43FA2">
      <w:pPr>
        <w:jc w:val="both"/>
        <w:rPr>
          <w:lang w:val="lv-LV"/>
        </w:rPr>
      </w:pPr>
      <w:r w:rsidRPr="004D0719">
        <w:rPr>
          <w:lang w:val="lv-LV"/>
        </w:rPr>
        <w:t>Kur punktā 2.3.2. minēts EKI aprīkošana ar norēķinu sistēmas komponentēm atbilstoši Pasūtītāja darba uzdevumam.</w:t>
      </w:r>
    </w:p>
    <w:p w14:paraId="7BD8E4DF" w14:textId="77777777" w:rsidR="00A43FA2" w:rsidRPr="004D0719" w:rsidRDefault="00A43FA2" w:rsidP="00A43FA2">
      <w:pPr>
        <w:jc w:val="both"/>
        <w:rPr>
          <w:lang w:val="lv-LV"/>
        </w:rPr>
      </w:pPr>
      <w:r w:rsidRPr="004D0719">
        <w:rPr>
          <w:lang w:val="lv-LV"/>
        </w:rPr>
        <w:t xml:space="preserve">Vēlamies precizēt, vai Pasūtītāja darba uzdevums, piegādes un uzstādīšanas termiņš, ir noteikts pēc nolikuma līguma projekta? </w:t>
      </w:r>
    </w:p>
    <w:p w14:paraId="4AD1310D" w14:textId="77777777" w:rsidR="00A43FA2" w:rsidRPr="004D0719" w:rsidRDefault="00A43FA2" w:rsidP="00A43FA2">
      <w:pPr>
        <w:jc w:val="both"/>
        <w:rPr>
          <w:lang w:val="lv-LV"/>
        </w:rPr>
      </w:pPr>
      <w:r w:rsidRPr="004D0719">
        <w:rPr>
          <w:lang w:val="lv-LV"/>
        </w:rPr>
        <w:t>T.i. Katrs izstrādes punkts tiek noteikts no līguma noslēgšanas brīža:</w:t>
      </w:r>
    </w:p>
    <w:p w14:paraId="5653AB3E" w14:textId="77777777" w:rsidR="00A43FA2" w:rsidRPr="004D0719" w:rsidRDefault="00A43FA2" w:rsidP="00A43FA2">
      <w:pPr>
        <w:pStyle w:val="Sarakstarindkopa"/>
        <w:numPr>
          <w:ilvl w:val="0"/>
          <w:numId w:val="12"/>
        </w:numPr>
        <w:jc w:val="both"/>
        <w:rPr>
          <w:rFonts w:ascii="Times New Roman" w:hAnsi="Times New Roman" w:cs="Times New Roman"/>
          <w:sz w:val="24"/>
          <w:szCs w:val="24"/>
          <w:lang w:val="lv-LV"/>
        </w:rPr>
      </w:pPr>
      <w:r w:rsidRPr="004D0719">
        <w:rPr>
          <w:rFonts w:ascii="Times New Roman" w:hAnsi="Times New Roman" w:cs="Times New Roman"/>
          <w:sz w:val="24"/>
          <w:szCs w:val="24"/>
          <w:lang w:val="lv-LV"/>
        </w:rPr>
        <w:t>Sistēmas izstrāde 6 mēnešu laikā,</w:t>
      </w:r>
    </w:p>
    <w:p w14:paraId="62DD5C76" w14:textId="77777777" w:rsidR="00A43FA2" w:rsidRPr="004D0719" w:rsidRDefault="00A43FA2" w:rsidP="00A43FA2">
      <w:pPr>
        <w:pStyle w:val="Sarakstarindkopa"/>
        <w:numPr>
          <w:ilvl w:val="0"/>
          <w:numId w:val="12"/>
        </w:numPr>
        <w:jc w:val="both"/>
        <w:rPr>
          <w:rFonts w:ascii="Times New Roman" w:hAnsi="Times New Roman" w:cs="Times New Roman"/>
          <w:sz w:val="24"/>
          <w:szCs w:val="24"/>
          <w:lang w:val="lv-LV"/>
        </w:rPr>
      </w:pPr>
      <w:r w:rsidRPr="004D0719">
        <w:rPr>
          <w:rFonts w:ascii="Times New Roman" w:hAnsi="Times New Roman" w:cs="Times New Roman"/>
          <w:sz w:val="24"/>
          <w:szCs w:val="24"/>
          <w:lang w:val="lv-LV"/>
        </w:rPr>
        <w:t xml:space="preserve">Pirmā iekārtu daļa </w:t>
      </w:r>
      <w:r w:rsidRPr="004D0719">
        <w:rPr>
          <w:rFonts w:ascii="Times New Roman" w:eastAsiaTheme="minorEastAsia" w:hAnsi="Times New Roman" w:cs="Times New Roman"/>
          <w:sz w:val="24"/>
          <w:szCs w:val="24"/>
          <w:lang w:val="lv-LV"/>
        </w:rPr>
        <w:t xml:space="preserve">(75 gab.) </w:t>
      </w:r>
      <w:r w:rsidRPr="004D0719">
        <w:rPr>
          <w:rFonts w:ascii="Times New Roman" w:hAnsi="Times New Roman" w:cs="Times New Roman"/>
          <w:sz w:val="24"/>
          <w:szCs w:val="24"/>
          <w:lang w:val="lv-LV"/>
        </w:rPr>
        <w:t>7 mēnešu laikā</w:t>
      </w:r>
    </w:p>
    <w:p w14:paraId="61310D22" w14:textId="77777777" w:rsidR="00A43FA2" w:rsidRPr="004D0719" w:rsidRDefault="00A43FA2" w:rsidP="00A43FA2">
      <w:pPr>
        <w:pStyle w:val="Sarakstarindkopa"/>
        <w:numPr>
          <w:ilvl w:val="0"/>
          <w:numId w:val="12"/>
        </w:numPr>
        <w:jc w:val="both"/>
        <w:rPr>
          <w:rFonts w:ascii="Times New Roman" w:hAnsi="Times New Roman" w:cs="Times New Roman"/>
          <w:sz w:val="24"/>
          <w:szCs w:val="24"/>
          <w:lang w:val="lv-LV"/>
        </w:rPr>
      </w:pPr>
      <w:r w:rsidRPr="004D0719">
        <w:rPr>
          <w:rFonts w:ascii="Times New Roman" w:hAnsi="Times New Roman" w:cs="Times New Roman"/>
          <w:sz w:val="24"/>
          <w:szCs w:val="24"/>
          <w:lang w:val="lv-LV"/>
        </w:rPr>
        <w:t xml:space="preserve">Otrā iekārtu daļa </w:t>
      </w:r>
      <w:r w:rsidRPr="004D0719">
        <w:rPr>
          <w:rFonts w:ascii="Times New Roman" w:eastAsiaTheme="minorEastAsia" w:hAnsi="Times New Roman" w:cs="Times New Roman"/>
          <w:sz w:val="24"/>
          <w:szCs w:val="24"/>
          <w:lang w:val="lv-LV"/>
        </w:rPr>
        <w:t xml:space="preserve">(75 gab.) </w:t>
      </w:r>
      <w:r w:rsidRPr="004D0719">
        <w:rPr>
          <w:rFonts w:ascii="Times New Roman" w:hAnsi="Times New Roman" w:cs="Times New Roman"/>
          <w:sz w:val="24"/>
          <w:szCs w:val="24"/>
          <w:lang w:val="lv-LV"/>
        </w:rPr>
        <w:t>8 mēnešu laikā.</w:t>
      </w:r>
    </w:p>
    <w:p w14:paraId="567DA988" w14:textId="77777777" w:rsidR="003B15D3" w:rsidRDefault="003B15D3" w:rsidP="003B15D3">
      <w:pPr>
        <w:tabs>
          <w:tab w:val="right" w:pos="9355"/>
        </w:tabs>
        <w:ind w:right="-45"/>
        <w:jc w:val="both"/>
        <w:outlineLvl w:val="0"/>
        <w:rPr>
          <w:b/>
          <w:bCs/>
          <w:iCs/>
          <w:lang w:val="lv-LV"/>
        </w:rPr>
      </w:pPr>
    </w:p>
    <w:p w14:paraId="2DDDAF29" w14:textId="3AAB9827" w:rsidR="003B15D3" w:rsidRPr="004D0719" w:rsidRDefault="003B15D3" w:rsidP="003B15D3">
      <w:pPr>
        <w:tabs>
          <w:tab w:val="right" w:pos="9355"/>
        </w:tabs>
        <w:ind w:right="-45"/>
        <w:jc w:val="both"/>
        <w:outlineLvl w:val="0"/>
        <w:rPr>
          <w:b/>
          <w:bCs/>
          <w:iCs/>
          <w:lang w:val="lv-LV"/>
        </w:rPr>
      </w:pPr>
      <w:r w:rsidRPr="004D0719">
        <w:rPr>
          <w:b/>
          <w:bCs/>
          <w:iCs/>
          <w:lang w:val="lv-LV"/>
        </w:rPr>
        <w:t>2.atbilde:</w:t>
      </w:r>
    </w:p>
    <w:p w14:paraId="2946C3E4" w14:textId="5B3A600E" w:rsidR="003B15D3" w:rsidRDefault="00176FEF" w:rsidP="00176FEF">
      <w:pPr>
        <w:ind w:firstLine="720"/>
        <w:jc w:val="both"/>
        <w:rPr>
          <w:bCs/>
          <w:lang w:val="lv-LV" w:eastAsia="ar-SA"/>
        </w:rPr>
      </w:pPr>
      <w:r w:rsidRPr="00176FEF">
        <w:rPr>
          <w:bCs/>
          <w:lang w:val="lv-LV" w:eastAsia="ar-SA"/>
        </w:rPr>
        <w:t xml:space="preserve">Pēc līguma noslēgšanas </w:t>
      </w:r>
      <w:r w:rsidRPr="004D0719">
        <w:rPr>
          <w:bCs/>
          <w:lang w:val="lv-LV" w:eastAsia="ar-SA"/>
        </w:rPr>
        <w:t xml:space="preserve">Izpildītājam </w:t>
      </w:r>
      <w:r w:rsidRPr="00176FEF">
        <w:rPr>
          <w:bCs/>
          <w:lang w:val="lv-LV" w:eastAsia="ar-SA"/>
        </w:rPr>
        <w:t xml:space="preserve">tiks nodots darba uzdevums, kurā tiks norādītas precīzas </w:t>
      </w:r>
      <w:r w:rsidR="00F103EF" w:rsidRPr="00A26588">
        <w:rPr>
          <w:bCs/>
          <w:lang w:val="lv-LV" w:eastAsia="ar-SA"/>
        </w:rPr>
        <w:t xml:space="preserve">elektronisko kontroles iekārtu (turpmāk– EKI) </w:t>
      </w:r>
      <w:r w:rsidRPr="00176FEF">
        <w:rPr>
          <w:bCs/>
          <w:lang w:val="lv-LV" w:eastAsia="ar-SA"/>
        </w:rPr>
        <w:t xml:space="preserve">aprīkošanas vietas un izpildes laiks, kas </w:t>
      </w:r>
      <w:r w:rsidR="00EC6A72">
        <w:rPr>
          <w:bCs/>
          <w:lang w:val="lv-LV" w:eastAsia="ar-SA"/>
        </w:rPr>
        <w:lastRenderedPageBreak/>
        <w:t>tiks noteikts</w:t>
      </w:r>
      <w:r w:rsidRPr="00176FEF">
        <w:rPr>
          <w:bCs/>
          <w:lang w:val="lv-LV" w:eastAsia="ar-SA"/>
        </w:rPr>
        <w:t xml:space="preserve"> saskaņā ar </w:t>
      </w:r>
      <w:r w:rsidR="009B22D1" w:rsidRPr="004D0719">
        <w:rPr>
          <w:bCs/>
          <w:lang w:val="lv-LV" w:eastAsia="ar-SA"/>
        </w:rPr>
        <w:t>Tehniskās specifikācijas 2.3.2.1. un 2.3.2.2.</w:t>
      </w:r>
      <w:r w:rsidR="00EC6A72">
        <w:rPr>
          <w:bCs/>
          <w:lang w:val="lv-LV" w:eastAsia="ar-SA"/>
        </w:rPr>
        <w:t>punktos</w:t>
      </w:r>
      <w:r w:rsidRPr="00176FEF">
        <w:rPr>
          <w:bCs/>
          <w:lang w:val="lv-LV" w:eastAsia="ar-SA"/>
        </w:rPr>
        <w:t xml:space="preserve"> noteiktajiem termiņiem.</w:t>
      </w:r>
    </w:p>
    <w:p w14:paraId="611EA638" w14:textId="77777777" w:rsidR="009B22D1" w:rsidRPr="00176FEF" w:rsidRDefault="009B22D1" w:rsidP="00176FEF">
      <w:pPr>
        <w:ind w:firstLine="720"/>
        <w:jc w:val="both"/>
        <w:rPr>
          <w:bCs/>
          <w:lang w:val="lv-LV" w:eastAsia="ar-SA"/>
        </w:rPr>
      </w:pPr>
    </w:p>
    <w:p w14:paraId="28C73BEF" w14:textId="739304A1" w:rsidR="003B15D3" w:rsidRPr="004D0719" w:rsidRDefault="003B15D3" w:rsidP="003B15D3">
      <w:pPr>
        <w:tabs>
          <w:tab w:val="right" w:pos="9355"/>
        </w:tabs>
        <w:ind w:right="-45"/>
        <w:jc w:val="both"/>
        <w:rPr>
          <w:b/>
          <w:bCs/>
          <w:lang w:val="lv-LV"/>
        </w:rPr>
      </w:pPr>
      <w:r w:rsidRPr="004D0719">
        <w:rPr>
          <w:b/>
          <w:bCs/>
          <w:lang w:val="lv-LV"/>
        </w:rPr>
        <w:t>3. jautājums:</w:t>
      </w:r>
    </w:p>
    <w:p w14:paraId="1C11AA92" w14:textId="77777777" w:rsidR="00481570" w:rsidRPr="004D0719" w:rsidRDefault="00481570" w:rsidP="00481570">
      <w:pPr>
        <w:ind w:firstLine="720"/>
        <w:jc w:val="both"/>
        <w:rPr>
          <w:bCs/>
          <w:lang w:val="lv-LV" w:eastAsia="ar-SA"/>
        </w:rPr>
      </w:pPr>
      <w:r w:rsidRPr="004D0719">
        <w:rPr>
          <w:bCs/>
          <w:lang w:val="lv-LV" w:eastAsia="ar-SA"/>
        </w:rPr>
        <w:t>Vai iekārtas katrā daļā, kuras būs nepieciešams aprīkot, būs pieejamas pilnībā izpildītājam?</w:t>
      </w:r>
    </w:p>
    <w:p w14:paraId="6CC971A3" w14:textId="77777777" w:rsidR="00481570" w:rsidRPr="004D0719" w:rsidRDefault="00481570" w:rsidP="00481570">
      <w:pPr>
        <w:ind w:firstLine="720"/>
        <w:jc w:val="both"/>
        <w:rPr>
          <w:bCs/>
          <w:lang w:val="lv-LV" w:eastAsia="ar-SA"/>
        </w:rPr>
      </w:pPr>
      <w:r w:rsidRPr="004D0719">
        <w:rPr>
          <w:bCs/>
          <w:lang w:val="lv-LV" w:eastAsia="ar-SA"/>
        </w:rPr>
        <w:t>T.i. Vai iekārtas būs jāaprīko tās atrašanās vietās (neatkarīgi no laikapstākļiem), vai arī tās būs pieejamas izpildītājam aprīkot (tai, skaitā veikt sistēmas testēšanas) savā darbnīcā?</w:t>
      </w:r>
    </w:p>
    <w:p w14:paraId="34D64663" w14:textId="77777777" w:rsidR="003B15D3" w:rsidRPr="004D0719" w:rsidRDefault="003B15D3" w:rsidP="003B15D3">
      <w:pPr>
        <w:tabs>
          <w:tab w:val="right" w:pos="9355"/>
        </w:tabs>
        <w:ind w:right="-45"/>
        <w:jc w:val="both"/>
        <w:outlineLvl w:val="0"/>
        <w:rPr>
          <w:b/>
          <w:bCs/>
          <w:iCs/>
          <w:lang w:val="lv-LV"/>
        </w:rPr>
      </w:pPr>
    </w:p>
    <w:p w14:paraId="1B571171" w14:textId="3CFD1089" w:rsidR="003B15D3" w:rsidRPr="004D0719" w:rsidRDefault="003B15D3" w:rsidP="003B15D3">
      <w:pPr>
        <w:tabs>
          <w:tab w:val="right" w:pos="9355"/>
        </w:tabs>
        <w:ind w:right="-45"/>
        <w:jc w:val="both"/>
        <w:outlineLvl w:val="0"/>
        <w:rPr>
          <w:b/>
          <w:bCs/>
          <w:iCs/>
          <w:lang w:val="lv-LV"/>
        </w:rPr>
      </w:pPr>
      <w:r w:rsidRPr="004D0719">
        <w:rPr>
          <w:b/>
          <w:bCs/>
          <w:iCs/>
          <w:lang w:val="lv-LV"/>
        </w:rPr>
        <w:t>3.atbilde:</w:t>
      </w:r>
    </w:p>
    <w:p w14:paraId="1ECE44CA" w14:textId="7C76C312" w:rsidR="004B5FA3" w:rsidRPr="0093556D" w:rsidRDefault="004B5FA3" w:rsidP="00EC6A72">
      <w:pPr>
        <w:ind w:left="142" w:firstLine="578"/>
        <w:jc w:val="both"/>
        <w:rPr>
          <w:color w:val="0070C0"/>
        </w:rPr>
      </w:pPr>
      <w:r w:rsidRPr="004B5FA3">
        <w:rPr>
          <w:bCs/>
          <w:lang w:val="lv-LV" w:eastAsia="ar-SA"/>
        </w:rPr>
        <w:t xml:space="preserve">Aprīkošanu </w:t>
      </w:r>
      <w:r w:rsidR="00574A97">
        <w:rPr>
          <w:bCs/>
          <w:lang w:val="lv-LV" w:eastAsia="ar-SA"/>
        </w:rPr>
        <w:t>Izpildītājs</w:t>
      </w:r>
      <w:r w:rsidRPr="004B5FA3">
        <w:rPr>
          <w:bCs/>
          <w:lang w:val="lv-LV" w:eastAsia="ar-SA"/>
        </w:rPr>
        <w:t xml:space="preserve"> var veikt sev vēlamā veidā, tajā skaitā aprīkošanu veicot Izpildītāja telpās. Taču gadījumā, ja iekārtas tiek demontētas, Izpildītājam jānodrošina drošu EKI demontāžas vietu (t.i. nevar atstāt atklātu montāžas vietu, elektropieslēgumu, kas var radīt bīstamību veselībai vai dzīvībai). Izmaksas, kas saistītas ar demontāžas/montāžas darbiem šajā gadījumā sedz Izpildītājs, kā arī nodrošina seguma vietas atjaunošanu atbilstoši sākotnējam stāvoklim, ūdensdrošu elektrības savienojumu ar ārējo elektroapgādes avotu.</w:t>
      </w:r>
    </w:p>
    <w:p w14:paraId="148AB826" w14:textId="77777777" w:rsidR="003B15D3" w:rsidRPr="004D0719" w:rsidRDefault="003B15D3" w:rsidP="003B15D3">
      <w:pPr>
        <w:ind w:right="372"/>
        <w:jc w:val="both"/>
        <w:rPr>
          <w:lang w:val="lv-LV"/>
        </w:rPr>
      </w:pPr>
    </w:p>
    <w:p w14:paraId="4F45E867" w14:textId="77777777" w:rsidR="00E070A8" w:rsidRPr="004D0719" w:rsidRDefault="00E070A8" w:rsidP="002916E0">
      <w:pPr>
        <w:ind w:right="372"/>
        <w:jc w:val="both"/>
        <w:rPr>
          <w:lang w:val="lv-LV"/>
        </w:rPr>
      </w:pPr>
    </w:p>
    <w:p w14:paraId="134F3238" w14:textId="77777777" w:rsidR="00C54764" w:rsidRPr="004D0719" w:rsidRDefault="00C54764" w:rsidP="002916E0">
      <w:pPr>
        <w:ind w:right="372"/>
        <w:jc w:val="both"/>
        <w:rPr>
          <w:lang w:val="lv-LV"/>
        </w:rPr>
      </w:pPr>
    </w:p>
    <w:p w14:paraId="0DE93389" w14:textId="02EBF429" w:rsidR="002916E0" w:rsidRPr="004D0719" w:rsidRDefault="002916E0" w:rsidP="002916E0">
      <w:pPr>
        <w:spacing w:after="120"/>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p w14:paraId="32FEDE7B" w14:textId="77777777" w:rsidR="002916E0" w:rsidRPr="004D0719" w:rsidRDefault="002916E0" w:rsidP="002916E0">
      <w:pPr>
        <w:jc w:val="both"/>
        <w:outlineLvl w:val="0"/>
        <w:rPr>
          <w:i/>
          <w:sz w:val="20"/>
          <w:szCs w:val="20"/>
          <w:lang w:val="lv-LV"/>
        </w:rPr>
      </w:pPr>
    </w:p>
    <w:p w14:paraId="76A9F0D8" w14:textId="77777777" w:rsidR="002916E0" w:rsidRPr="004D0719" w:rsidRDefault="002916E0" w:rsidP="002916E0">
      <w:pPr>
        <w:jc w:val="both"/>
        <w:outlineLvl w:val="0"/>
        <w:rPr>
          <w:i/>
          <w:sz w:val="20"/>
          <w:szCs w:val="20"/>
          <w:lang w:val="lv-LV"/>
        </w:rPr>
      </w:pPr>
    </w:p>
    <w:bookmarkEnd w:id="2"/>
    <w:sectPr w:rsidR="002916E0" w:rsidRPr="004D0719"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D99" w14:textId="77777777" w:rsidR="00CA5F4B" w:rsidRDefault="00CA5F4B">
      <w:r>
        <w:separator/>
      </w:r>
    </w:p>
  </w:endnote>
  <w:endnote w:type="continuationSeparator" w:id="0">
    <w:p w14:paraId="3DB78E77" w14:textId="77777777" w:rsidR="00CA5F4B" w:rsidRDefault="00CA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BA10" w14:textId="77777777" w:rsidR="00CA5F4B" w:rsidRDefault="00CA5F4B">
      <w:r>
        <w:separator/>
      </w:r>
    </w:p>
  </w:footnote>
  <w:footnote w:type="continuationSeparator" w:id="0">
    <w:p w14:paraId="09AE3743" w14:textId="77777777" w:rsidR="00CA5F4B" w:rsidRDefault="00CA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A5C6E"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4067CA55" w:rsidR="00BA1D4B" w:rsidRDefault="00BA1D4B" w:rsidP="00BA1D4B">
    <w:pPr>
      <w:pStyle w:val="Galvene"/>
      <w:tabs>
        <w:tab w:val="left" w:pos="426"/>
        <w:tab w:val="left" w:pos="1418"/>
      </w:tabs>
      <w:jc w:val="both"/>
    </w:pPr>
    <w:bookmarkStart w:id="3" w:name="docDate"/>
    <w:bookmarkEnd w:id="3"/>
    <w:r>
      <w:t xml:space="preserve"> </w:t>
    </w:r>
    <w:bookmarkStart w:id="4" w:name="docN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1"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11"/>
  </w:num>
  <w:num w:numId="5" w16cid:durableId="507645777">
    <w:abstractNumId w:val="6"/>
  </w:num>
  <w:num w:numId="6" w16cid:durableId="1786344621">
    <w:abstractNumId w:val="3"/>
  </w:num>
  <w:num w:numId="7" w16cid:durableId="380137759">
    <w:abstractNumId w:val="9"/>
  </w:num>
  <w:num w:numId="8" w16cid:durableId="1227959140">
    <w:abstractNumId w:val="4"/>
  </w:num>
  <w:num w:numId="9" w16cid:durableId="251092543">
    <w:abstractNumId w:val="1"/>
  </w:num>
  <w:num w:numId="10" w16cid:durableId="1436247068">
    <w:abstractNumId w:val="10"/>
  </w:num>
  <w:num w:numId="11" w16cid:durableId="82725786">
    <w:abstractNumId w:val="7"/>
  </w:num>
  <w:num w:numId="12" w16cid:durableId="810636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86D"/>
    <w:rsid w:val="000525F0"/>
    <w:rsid w:val="000577A0"/>
    <w:rsid w:val="000602E5"/>
    <w:rsid w:val="0006415F"/>
    <w:rsid w:val="00067893"/>
    <w:rsid w:val="00070F05"/>
    <w:rsid w:val="0007156E"/>
    <w:rsid w:val="00072904"/>
    <w:rsid w:val="0007310F"/>
    <w:rsid w:val="00083E27"/>
    <w:rsid w:val="000878EE"/>
    <w:rsid w:val="0009674E"/>
    <w:rsid w:val="000A5177"/>
    <w:rsid w:val="000B75CA"/>
    <w:rsid w:val="000C3C08"/>
    <w:rsid w:val="000C3C5D"/>
    <w:rsid w:val="000C4B9C"/>
    <w:rsid w:val="000C5CAC"/>
    <w:rsid w:val="000D003C"/>
    <w:rsid w:val="000D55D7"/>
    <w:rsid w:val="000E098F"/>
    <w:rsid w:val="000E1E7A"/>
    <w:rsid w:val="000E362C"/>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D1A40"/>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34308"/>
    <w:rsid w:val="00440FCB"/>
    <w:rsid w:val="0044160F"/>
    <w:rsid w:val="00443886"/>
    <w:rsid w:val="00446224"/>
    <w:rsid w:val="0045147A"/>
    <w:rsid w:val="00453BF8"/>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E3DE4"/>
    <w:rsid w:val="004F4340"/>
    <w:rsid w:val="004F46E0"/>
    <w:rsid w:val="004F581B"/>
    <w:rsid w:val="004F58C0"/>
    <w:rsid w:val="00505854"/>
    <w:rsid w:val="005065AA"/>
    <w:rsid w:val="00507665"/>
    <w:rsid w:val="00515201"/>
    <w:rsid w:val="00516AA2"/>
    <w:rsid w:val="00522465"/>
    <w:rsid w:val="0053039A"/>
    <w:rsid w:val="005314A2"/>
    <w:rsid w:val="00534A17"/>
    <w:rsid w:val="00536A35"/>
    <w:rsid w:val="00536DF6"/>
    <w:rsid w:val="005404CF"/>
    <w:rsid w:val="005408FF"/>
    <w:rsid w:val="0054525F"/>
    <w:rsid w:val="005461CE"/>
    <w:rsid w:val="00570002"/>
    <w:rsid w:val="005721A6"/>
    <w:rsid w:val="00574A97"/>
    <w:rsid w:val="0058458B"/>
    <w:rsid w:val="0058548A"/>
    <w:rsid w:val="0058717E"/>
    <w:rsid w:val="00595CE2"/>
    <w:rsid w:val="005A1A53"/>
    <w:rsid w:val="005A3A19"/>
    <w:rsid w:val="005A4026"/>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6361"/>
    <w:rsid w:val="00606DF2"/>
    <w:rsid w:val="00610F5E"/>
    <w:rsid w:val="00611305"/>
    <w:rsid w:val="006117FF"/>
    <w:rsid w:val="00614E6D"/>
    <w:rsid w:val="0061644E"/>
    <w:rsid w:val="006228B5"/>
    <w:rsid w:val="00623B71"/>
    <w:rsid w:val="006249BA"/>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F39"/>
    <w:rsid w:val="006C7267"/>
    <w:rsid w:val="006D11FD"/>
    <w:rsid w:val="006E68D8"/>
    <w:rsid w:val="006F015E"/>
    <w:rsid w:val="006F589D"/>
    <w:rsid w:val="006F5D05"/>
    <w:rsid w:val="006F7D4A"/>
    <w:rsid w:val="0070162C"/>
    <w:rsid w:val="00703FC1"/>
    <w:rsid w:val="0070639B"/>
    <w:rsid w:val="00712459"/>
    <w:rsid w:val="0072149F"/>
    <w:rsid w:val="00740E4F"/>
    <w:rsid w:val="00742A99"/>
    <w:rsid w:val="00756A0F"/>
    <w:rsid w:val="00756CAE"/>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219A"/>
    <w:rsid w:val="007D62F7"/>
    <w:rsid w:val="00800AF3"/>
    <w:rsid w:val="00802A5E"/>
    <w:rsid w:val="008034ED"/>
    <w:rsid w:val="00806272"/>
    <w:rsid w:val="00807296"/>
    <w:rsid w:val="0080767A"/>
    <w:rsid w:val="00817C37"/>
    <w:rsid w:val="008203D5"/>
    <w:rsid w:val="008209A5"/>
    <w:rsid w:val="0082362C"/>
    <w:rsid w:val="008278BD"/>
    <w:rsid w:val="00832355"/>
    <w:rsid w:val="008415AF"/>
    <w:rsid w:val="00847A4A"/>
    <w:rsid w:val="008533C8"/>
    <w:rsid w:val="00862FFE"/>
    <w:rsid w:val="008632F0"/>
    <w:rsid w:val="00865460"/>
    <w:rsid w:val="00866B27"/>
    <w:rsid w:val="0087213F"/>
    <w:rsid w:val="008731BB"/>
    <w:rsid w:val="0087386D"/>
    <w:rsid w:val="0087612C"/>
    <w:rsid w:val="00885AD9"/>
    <w:rsid w:val="00886CDE"/>
    <w:rsid w:val="00886F38"/>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0C75"/>
    <w:rsid w:val="00926E0B"/>
    <w:rsid w:val="00927EDB"/>
    <w:rsid w:val="0093109F"/>
    <w:rsid w:val="00931737"/>
    <w:rsid w:val="00932DF3"/>
    <w:rsid w:val="00943032"/>
    <w:rsid w:val="00944AC2"/>
    <w:rsid w:val="0095071F"/>
    <w:rsid w:val="009525FC"/>
    <w:rsid w:val="0095711C"/>
    <w:rsid w:val="0096309E"/>
    <w:rsid w:val="00977F51"/>
    <w:rsid w:val="00991040"/>
    <w:rsid w:val="009A3FEC"/>
    <w:rsid w:val="009A42BA"/>
    <w:rsid w:val="009B22D1"/>
    <w:rsid w:val="009C33D0"/>
    <w:rsid w:val="009E07A7"/>
    <w:rsid w:val="009E2276"/>
    <w:rsid w:val="009E2DB8"/>
    <w:rsid w:val="009F56DC"/>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5E33"/>
    <w:rsid w:val="00AA0E4F"/>
    <w:rsid w:val="00AA3FA4"/>
    <w:rsid w:val="00AA5F83"/>
    <w:rsid w:val="00AB152E"/>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45FEC"/>
    <w:rsid w:val="00B6004D"/>
    <w:rsid w:val="00B63DD5"/>
    <w:rsid w:val="00B65583"/>
    <w:rsid w:val="00B6612D"/>
    <w:rsid w:val="00B67B48"/>
    <w:rsid w:val="00B9098E"/>
    <w:rsid w:val="00B9382A"/>
    <w:rsid w:val="00B96019"/>
    <w:rsid w:val="00BA0601"/>
    <w:rsid w:val="00BA1D4B"/>
    <w:rsid w:val="00BA375B"/>
    <w:rsid w:val="00BA5CFA"/>
    <w:rsid w:val="00BC059D"/>
    <w:rsid w:val="00BD52CF"/>
    <w:rsid w:val="00BE0693"/>
    <w:rsid w:val="00BE0DAF"/>
    <w:rsid w:val="00BE5AD3"/>
    <w:rsid w:val="00BF0CFE"/>
    <w:rsid w:val="00C05525"/>
    <w:rsid w:val="00C162D5"/>
    <w:rsid w:val="00C21022"/>
    <w:rsid w:val="00C2117D"/>
    <w:rsid w:val="00C2173E"/>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FE1"/>
    <w:rsid w:val="00C877BB"/>
    <w:rsid w:val="00C92AE3"/>
    <w:rsid w:val="00C950CD"/>
    <w:rsid w:val="00C96B4F"/>
    <w:rsid w:val="00CA537C"/>
    <w:rsid w:val="00CA5F4B"/>
    <w:rsid w:val="00CA73ED"/>
    <w:rsid w:val="00CB2C12"/>
    <w:rsid w:val="00CB6249"/>
    <w:rsid w:val="00CB6DB1"/>
    <w:rsid w:val="00CD344E"/>
    <w:rsid w:val="00CD682F"/>
    <w:rsid w:val="00CE2A46"/>
    <w:rsid w:val="00CE5415"/>
    <w:rsid w:val="00CF18FA"/>
    <w:rsid w:val="00CF2BED"/>
    <w:rsid w:val="00CF4CBE"/>
    <w:rsid w:val="00CF6AF0"/>
    <w:rsid w:val="00CF6C7E"/>
    <w:rsid w:val="00D02E79"/>
    <w:rsid w:val="00D07788"/>
    <w:rsid w:val="00D16CB6"/>
    <w:rsid w:val="00D17AAC"/>
    <w:rsid w:val="00D31D14"/>
    <w:rsid w:val="00D33090"/>
    <w:rsid w:val="00D3664D"/>
    <w:rsid w:val="00D36BE0"/>
    <w:rsid w:val="00D4056B"/>
    <w:rsid w:val="00D43D83"/>
    <w:rsid w:val="00D504A7"/>
    <w:rsid w:val="00D54B55"/>
    <w:rsid w:val="00D62421"/>
    <w:rsid w:val="00D65827"/>
    <w:rsid w:val="00D81F1C"/>
    <w:rsid w:val="00D853DC"/>
    <w:rsid w:val="00D86507"/>
    <w:rsid w:val="00D87AB7"/>
    <w:rsid w:val="00D93802"/>
    <w:rsid w:val="00D962D6"/>
    <w:rsid w:val="00D973CF"/>
    <w:rsid w:val="00DA0C26"/>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6177"/>
    <w:rsid w:val="00E520EE"/>
    <w:rsid w:val="00E531DF"/>
    <w:rsid w:val="00E56A01"/>
    <w:rsid w:val="00E60BF3"/>
    <w:rsid w:val="00E62699"/>
    <w:rsid w:val="00E6592A"/>
    <w:rsid w:val="00E751C9"/>
    <w:rsid w:val="00E75820"/>
    <w:rsid w:val="00E9117F"/>
    <w:rsid w:val="00E942AE"/>
    <w:rsid w:val="00EA4BAE"/>
    <w:rsid w:val="00EB089E"/>
    <w:rsid w:val="00EB24A5"/>
    <w:rsid w:val="00EC3D3B"/>
    <w:rsid w:val="00EC4BA7"/>
    <w:rsid w:val="00EC6A72"/>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unhideWhenUsed/>
    <w:locked/>
    <w:rsid w:val="003C1030"/>
    <w:rPr>
      <w:color w:val="0563C1"/>
      <w:u w:val="single"/>
    </w:rPr>
  </w:style>
  <w:style w:type="paragraph" w:styleId="Sarakstarindkopa">
    <w:name w:val="List Paragraph"/>
    <w:aliases w:val="Saistīto dokumentu saraksts,Syle 1,Numurets,PPS_Bullet,H&amp;P List Paragraph,2,Strip,Normal bullet 2,Bullet list,Virsraksti,List Paragraph1,Colorful List - Accent 12,Numbered Para 1,Dot pt,List Paragraph Char Char Char,Indicator Text"/>
    <w:basedOn w:val="Parasts"/>
    <w:link w:val="SarakstarindkopaRakstz"/>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Neatrisintapieminana">
    <w:name w:val="Unresolved Mention"/>
    <w:basedOn w:val="Noklusjumarindkopasfonts"/>
    <w:uiPriority w:val="99"/>
    <w:semiHidden/>
    <w:unhideWhenUsed/>
    <w:rsid w:val="00296EEA"/>
    <w:rPr>
      <w:color w:val="605E5C"/>
      <w:shd w:val="clear" w:color="auto" w:fill="E1DFDD"/>
    </w:rPr>
  </w:style>
  <w:style w:type="paragraph" w:styleId="Prskatjums">
    <w:name w:val="Revision"/>
    <w:hidden/>
    <w:uiPriority w:val="99"/>
    <w:semiHidden/>
    <w:rsid w:val="003B6574"/>
    <w:rPr>
      <w:sz w:val="24"/>
      <w:szCs w:val="24"/>
      <w:lang w:val="en-GB" w:eastAsia="en-US"/>
    </w:rPr>
  </w:style>
  <w:style w:type="character" w:styleId="Komentraatsauce">
    <w:name w:val="annotation reference"/>
    <w:basedOn w:val="Noklusjumarindkopasfonts"/>
    <w:locked/>
    <w:rsid w:val="00D3664D"/>
    <w:rPr>
      <w:sz w:val="16"/>
      <w:szCs w:val="16"/>
    </w:rPr>
  </w:style>
  <w:style w:type="paragraph" w:styleId="Komentrateksts">
    <w:name w:val="annotation text"/>
    <w:basedOn w:val="Parasts"/>
    <w:link w:val="KomentratekstsRakstz"/>
    <w:locked/>
    <w:rsid w:val="00D3664D"/>
    <w:rPr>
      <w:sz w:val="20"/>
      <w:szCs w:val="20"/>
    </w:rPr>
  </w:style>
  <w:style w:type="character" w:customStyle="1" w:styleId="KomentratekstsRakstz">
    <w:name w:val="Komentāra teksts Rakstz."/>
    <w:basedOn w:val="Noklusjumarindkopasfonts"/>
    <w:link w:val="Komentrateksts"/>
    <w:rsid w:val="00D3664D"/>
    <w:rPr>
      <w:lang w:val="en-GB" w:eastAsia="en-US"/>
    </w:rPr>
  </w:style>
  <w:style w:type="paragraph" w:styleId="Komentratma">
    <w:name w:val="annotation subject"/>
    <w:basedOn w:val="Komentrateksts"/>
    <w:next w:val="Komentrateksts"/>
    <w:link w:val="KomentratmaRakstz"/>
    <w:semiHidden/>
    <w:unhideWhenUsed/>
    <w:locked/>
    <w:rsid w:val="00D3664D"/>
    <w:rPr>
      <w:b/>
      <w:bCs/>
    </w:rPr>
  </w:style>
  <w:style w:type="character" w:customStyle="1" w:styleId="KomentratmaRakstz">
    <w:name w:val="Komentāra tēma Rakstz."/>
    <w:basedOn w:val="KomentratekstsRakstz"/>
    <w:link w:val="Komentratma"/>
    <w:semiHidden/>
    <w:rsid w:val="00D3664D"/>
    <w:rPr>
      <w:b/>
      <w:bCs/>
      <w:lang w:val="en-GB" w:eastAsia="en-US"/>
    </w:rPr>
  </w:style>
  <w:style w:type="table" w:styleId="Reatabula">
    <w:name w:val="Table Grid"/>
    <w:basedOn w:val="Parastatabula"/>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locked/>
    <w:rsid w:val="004C4EEB"/>
    <w:pPr>
      <w:tabs>
        <w:tab w:val="num" w:pos="0"/>
      </w:tabs>
      <w:jc w:val="both"/>
      <w:outlineLvl w:val="0"/>
    </w:pPr>
    <w:rPr>
      <w:rFonts w:ascii="Belwe Lt TL" w:hAnsi="Belwe Lt TL"/>
      <w:szCs w:val="20"/>
      <w:lang w:val="lv-LV"/>
    </w:rPr>
  </w:style>
  <w:style w:type="character" w:customStyle="1" w:styleId="Pamatteksts2Rakstz">
    <w:name w:val="Pamatteksts 2 Rakstz."/>
    <w:basedOn w:val="Noklusjumarindkopasfonts"/>
    <w:link w:val="Pamatteksts2"/>
    <w:rsid w:val="004C4EEB"/>
    <w:rPr>
      <w:rFonts w:ascii="Belwe Lt TL" w:hAnsi="Belwe Lt TL"/>
      <w:sz w:val="24"/>
      <w:lang w:val="lv-LV" w:eastAsia="en-US"/>
    </w:rPr>
  </w:style>
  <w:style w:type="paragraph" w:customStyle="1" w:styleId="DefinitionList">
    <w:name w:val="Definition List"/>
    <w:basedOn w:val="Parasts"/>
    <w:next w:val="Parasts"/>
    <w:rsid w:val="00932DF3"/>
    <w:pPr>
      <w:ind w:left="360"/>
    </w:pPr>
    <w:rPr>
      <w:snapToGrid w:val="0"/>
      <w:szCs w:val="20"/>
      <w:lang w:val="lv-LV"/>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qFormat/>
    <w:locked/>
    <w:rsid w:val="00932DF3"/>
    <w:rPr>
      <w:rFonts w:ascii="Arial" w:hAnsi="Arial"/>
      <w:sz w:val="20"/>
      <w:szCs w:val="20"/>
      <w:lang w:val="lv-LV"/>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qFormat/>
    <w:rsid w:val="00932DF3"/>
    <w:rPr>
      <w:rFonts w:ascii="Arial" w:hAnsi="Arial"/>
      <w:lang w:val="lv-LV" w:eastAsia="en-US"/>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Parasts"/>
    <w:next w:val="Parasts"/>
    <w:link w:val="Vresatsau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Parasts"/>
    <w:rsid w:val="002023EF"/>
    <w:pPr>
      <w:spacing w:before="100" w:beforeAutospacing="1" w:after="100" w:afterAutospacing="1"/>
    </w:pPr>
    <w:rPr>
      <w:lang w:val="en-US"/>
    </w:rPr>
  </w:style>
  <w:style w:type="paragraph" w:customStyle="1" w:styleId="xmsolistparagraph">
    <w:name w:val="x_msolistparagraph"/>
    <w:basedOn w:val="Parasts"/>
    <w:rsid w:val="002023EF"/>
    <w:pPr>
      <w:spacing w:before="100" w:beforeAutospacing="1" w:after="100" w:afterAutospacing="1"/>
    </w:pPr>
    <w:rPr>
      <w:lang w:val="en-US"/>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Virsraksti Rakstz.,List Paragraph1 Rakstz."/>
    <w:link w:val="Sarakstarindkopa"/>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Noklusjumarindkopasfonts"/>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6.xml><?xml version="1.0" encoding="utf-8"?>
<ds:datastoreItem xmlns:ds="http://schemas.openxmlformats.org/officeDocument/2006/customXml" ds:itemID="{7A646B18-02F2-4E97-880C-13AF10E327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2509</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6</cp:revision>
  <cp:lastPrinted>2021-09-09T02:05:00Z</cp:lastPrinted>
  <dcterms:created xsi:type="dcterms:W3CDTF">2024-04-30T08:38:00Z</dcterms:created>
  <dcterms:modified xsi:type="dcterms:W3CDTF">2024-04-30T08:45:00Z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