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1AC68" w14:textId="4A3F72B6" w:rsidR="0057274A" w:rsidRPr="000B3438" w:rsidRDefault="000B3438" w:rsidP="000B3438">
      <w:pPr>
        <w:jc w:val="center"/>
        <w:rPr>
          <w:bCs/>
          <w:iCs/>
          <w:color w:val="000000"/>
        </w:rPr>
      </w:pPr>
      <w:r>
        <w:rPr>
          <w:bCs/>
          <w:iCs/>
          <w:color w:val="000000"/>
        </w:rPr>
        <w:t>Rīgā</w:t>
      </w:r>
      <w:bookmarkStart w:id="0" w:name="_GoBack"/>
      <w:bookmarkEnd w:id="0"/>
    </w:p>
    <w:p w14:paraId="07C546B5" w14:textId="77777777" w:rsidR="0057274A" w:rsidRDefault="0057274A" w:rsidP="00F11B08">
      <w:pPr>
        <w:rPr>
          <w:bCs/>
          <w:i/>
          <w:color w:val="000000"/>
        </w:rPr>
      </w:pPr>
    </w:p>
    <w:p w14:paraId="47284FAB" w14:textId="11BFD7C4" w:rsidR="00F11B08" w:rsidRPr="00F11B08" w:rsidRDefault="00823AE9" w:rsidP="00F11B08">
      <w:pPr>
        <w:rPr>
          <w:bCs/>
          <w:i/>
          <w:lang w:val="lv-LV" w:eastAsia="en-US"/>
        </w:rPr>
      </w:pPr>
      <w:r w:rsidRPr="00823AE9">
        <w:rPr>
          <w:bCs/>
          <w:i/>
          <w:color w:val="000000"/>
        </w:rPr>
        <w:t>Par</w:t>
      </w:r>
      <w:r w:rsidRPr="00823AE9">
        <w:rPr>
          <w:b/>
          <w:i/>
          <w:color w:val="000000"/>
        </w:rPr>
        <w:t xml:space="preserve"> </w:t>
      </w:r>
      <w:r w:rsidRPr="00F11B08">
        <w:rPr>
          <w:bCs/>
          <w:i/>
          <w:color w:val="000000"/>
        </w:rPr>
        <w:t>izsoles “</w:t>
      </w:r>
      <w:r w:rsidR="00F11B08" w:rsidRPr="00F11B08">
        <w:rPr>
          <w:bCs/>
          <w:i/>
          <w:lang w:val="lv-LV" w:eastAsia="en-US"/>
        </w:rPr>
        <w:t>Par līguma par reklāmas nesēju</w:t>
      </w:r>
    </w:p>
    <w:p w14:paraId="703C2653" w14:textId="10D53877" w:rsidR="00823AE9" w:rsidRPr="00F11B08" w:rsidRDefault="00F11B08" w:rsidP="00823AE9">
      <w:pPr>
        <w:rPr>
          <w:bCs/>
          <w:i/>
          <w:color w:val="000000"/>
          <w:lang w:val="lv-LV"/>
        </w:rPr>
      </w:pPr>
      <w:r w:rsidRPr="00F11B08">
        <w:rPr>
          <w:bCs/>
          <w:i/>
          <w:lang w:val="lv-LV" w:eastAsia="en-US"/>
        </w:rPr>
        <w:t xml:space="preserve"> nomu slēgšanas tiesību piešķiršanu” </w:t>
      </w:r>
      <w:r w:rsidR="00823AE9" w:rsidRPr="00F11B08">
        <w:rPr>
          <w:bCs/>
          <w:i/>
          <w:color w:val="000000"/>
          <w:lang w:val="lv-LV"/>
        </w:rPr>
        <w:t>noteikumiem</w:t>
      </w:r>
    </w:p>
    <w:p w14:paraId="4E973B0F" w14:textId="77777777" w:rsidR="00823AE9" w:rsidRPr="00F11B08" w:rsidRDefault="00823AE9" w:rsidP="00823AE9">
      <w:pPr>
        <w:jc w:val="both"/>
        <w:rPr>
          <w:bCs/>
          <w:lang w:val="lv-LV"/>
        </w:rPr>
      </w:pPr>
    </w:p>
    <w:p w14:paraId="1AC18080" w14:textId="77777777" w:rsidR="00823AE9" w:rsidRPr="000B0E2D" w:rsidRDefault="00823AE9" w:rsidP="00823AE9">
      <w:pPr>
        <w:ind w:firstLine="720"/>
        <w:jc w:val="both"/>
        <w:rPr>
          <w:lang w:val="lv-LV"/>
        </w:rPr>
      </w:pPr>
    </w:p>
    <w:p w14:paraId="2210C814" w14:textId="174E9B39" w:rsidR="00F11B08" w:rsidRPr="000B0E2D" w:rsidRDefault="00823AE9" w:rsidP="00F11B08">
      <w:pPr>
        <w:ind w:firstLine="720"/>
        <w:jc w:val="both"/>
        <w:rPr>
          <w:lang w:val="lv-LV" w:eastAsia="en-US"/>
        </w:rPr>
      </w:pPr>
      <w:r w:rsidRPr="000B0E2D">
        <w:rPr>
          <w:lang w:val="lv-LV"/>
        </w:rPr>
        <w:t>Rīgas pašvaldības sabiedrības ar ierobežotu atbildību „Rīgas satiksme” Iepirkuma komisija (turpmāk – IZNOMĀTĀJS) no iespējamā pretendenta ir saņēmusi vēstuli ar lūgumu veikt grozījumus izsoles “</w:t>
      </w:r>
      <w:r w:rsidR="00F11B08" w:rsidRPr="000B0E2D">
        <w:rPr>
          <w:lang w:val="lv-LV" w:eastAsia="en-US"/>
        </w:rPr>
        <w:t>Par līguma</w:t>
      </w:r>
      <w:proofErr w:type="gramStart"/>
      <w:r w:rsidR="00F11B08" w:rsidRPr="000B0E2D">
        <w:rPr>
          <w:lang w:val="lv-LV" w:eastAsia="en-US"/>
        </w:rPr>
        <w:t xml:space="preserve"> par</w:t>
      </w:r>
      <w:proofErr w:type="gramEnd"/>
      <w:r w:rsidR="00F11B08" w:rsidRPr="000B0E2D">
        <w:rPr>
          <w:lang w:val="lv-LV" w:eastAsia="en-US"/>
        </w:rPr>
        <w:t xml:space="preserve"> reklāmas nesēju nomu slēgšanas tiesību piešķiršanu” noli</w:t>
      </w:r>
      <w:r w:rsidR="00B57710" w:rsidRPr="000B0E2D">
        <w:rPr>
          <w:lang w:val="lv-LV" w:eastAsia="en-US"/>
        </w:rPr>
        <w:t>kumā</w:t>
      </w:r>
      <w:r w:rsidR="006157D9" w:rsidRPr="000B0E2D">
        <w:rPr>
          <w:lang w:val="lv-LV" w:eastAsia="en-US"/>
        </w:rPr>
        <w:t xml:space="preserve"> (turpmāk – Izsoles nolikums)</w:t>
      </w:r>
      <w:r w:rsidR="00B57710" w:rsidRPr="000B0E2D">
        <w:rPr>
          <w:lang w:val="lv-LV" w:eastAsia="en-US"/>
        </w:rPr>
        <w:t xml:space="preserve">, </w:t>
      </w:r>
      <w:r w:rsidR="00186F87" w:rsidRPr="000B0E2D">
        <w:rPr>
          <w:lang w:val="lv-LV" w:eastAsia="en-US"/>
        </w:rPr>
        <w:t xml:space="preserve">paredzot </w:t>
      </w:r>
      <w:r w:rsidR="00C04FF0" w:rsidRPr="000B0E2D">
        <w:rPr>
          <w:lang w:val="lv-LV" w:eastAsia="en-US"/>
        </w:rPr>
        <w:t>mutisku izsoli</w:t>
      </w:r>
      <w:r w:rsidR="00F313A2" w:rsidRPr="000B0E2D">
        <w:rPr>
          <w:lang w:val="lv-LV" w:eastAsia="en-US"/>
        </w:rPr>
        <w:t xml:space="preserve">, </w:t>
      </w:r>
      <w:r w:rsidR="006157D9" w:rsidRPr="000B0E2D">
        <w:rPr>
          <w:lang w:val="lv-LV" w:eastAsia="en-US"/>
        </w:rPr>
        <w:t>aizstājot</w:t>
      </w:r>
      <w:r w:rsidR="00F313A2" w:rsidRPr="000B0E2D">
        <w:rPr>
          <w:lang w:val="lv-LV" w:eastAsia="en-US"/>
        </w:rPr>
        <w:t xml:space="preserve"> šobrīd paredzēto piedāvājumu sagatavošanas un vē</w:t>
      </w:r>
      <w:r w:rsidR="006157D9" w:rsidRPr="000B0E2D">
        <w:rPr>
          <w:lang w:val="lv-LV" w:eastAsia="en-US"/>
        </w:rPr>
        <w:t>rtēšanas kārtību</w:t>
      </w:r>
      <w:r w:rsidR="00D54D03" w:rsidRPr="000B0E2D">
        <w:rPr>
          <w:lang w:val="lv-LV" w:eastAsia="en-US"/>
        </w:rPr>
        <w:t>, kā arī lūdz sniegt i</w:t>
      </w:r>
      <w:r w:rsidR="00D54D03" w:rsidRPr="000B0E2D">
        <w:rPr>
          <w:lang w:val="lv-LV"/>
        </w:rPr>
        <w:t>nformāciju, kā pie apstākļiem, kad trijiem pārtrauktā konkursa pretendentiem tika sniegta informācija par pārējo pretendentu piedāvājumiem, tai skaitā piedāvāto nomas maksu apmēriem, konkursā tiek plānots nodrošināt godīgu konkurenci starp šiem pretendentiem.</w:t>
      </w:r>
    </w:p>
    <w:p w14:paraId="27018C1B" w14:textId="04C2F296" w:rsidR="006157D9" w:rsidRPr="000B0E2D" w:rsidRDefault="00E71049" w:rsidP="00F11B08">
      <w:pPr>
        <w:ind w:firstLine="720"/>
        <w:jc w:val="both"/>
        <w:rPr>
          <w:lang w:val="lv-LV" w:eastAsia="en-US"/>
        </w:rPr>
      </w:pPr>
      <w:r w:rsidRPr="000B0E2D">
        <w:rPr>
          <w:lang w:val="lv-LV" w:eastAsia="en-US"/>
        </w:rPr>
        <w:t>S</w:t>
      </w:r>
      <w:r w:rsidR="00A1302B" w:rsidRPr="000B0E2D">
        <w:rPr>
          <w:lang w:val="lv-LV" w:eastAsia="en-US"/>
        </w:rPr>
        <w:t>askaņā ar Izsoles nolikum</w:t>
      </w:r>
      <w:r w:rsidR="00CE3982" w:rsidRPr="000B0E2D">
        <w:rPr>
          <w:lang w:val="lv-LV" w:eastAsia="en-US"/>
        </w:rPr>
        <w:t xml:space="preserve">a 6.2.punktu, iespējamajiem pretendentiem ir tiesības pieprasīt </w:t>
      </w:r>
      <w:proofErr w:type="gramStart"/>
      <w:r w:rsidR="00CE3982" w:rsidRPr="000B0E2D">
        <w:rPr>
          <w:lang w:val="lv-LV" w:eastAsia="en-US"/>
        </w:rPr>
        <w:t>papildus informāciju</w:t>
      </w:r>
      <w:proofErr w:type="gramEnd"/>
      <w:r w:rsidR="00CE3982" w:rsidRPr="000B0E2D">
        <w:rPr>
          <w:lang w:val="lv-LV" w:eastAsia="en-US"/>
        </w:rPr>
        <w:t xml:space="preserve"> par Izsoles nolikumā </w:t>
      </w:r>
      <w:r w:rsidR="00CA7F28" w:rsidRPr="000B0E2D">
        <w:rPr>
          <w:lang w:val="lv-LV" w:eastAsia="en-US"/>
        </w:rPr>
        <w:t>ietvertajām prasībām, bet iespējamais prete</w:t>
      </w:r>
      <w:r w:rsidR="0078108D" w:rsidRPr="000B0E2D">
        <w:rPr>
          <w:lang w:val="lv-LV" w:eastAsia="en-US"/>
        </w:rPr>
        <w:t xml:space="preserve">ndents </w:t>
      </w:r>
      <w:r w:rsidRPr="000B0E2D">
        <w:rPr>
          <w:lang w:val="lv-LV" w:eastAsia="en-US"/>
        </w:rPr>
        <w:t>lūdz grozīt nolikumā ietvertās prasības. Informējam, ka IZNOMĀTĀJS šobrīd neplāno veikt grozījumus izsoles nolikuma.</w:t>
      </w:r>
    </w:p>
    <w:p w14:paraId="5BCCD7A8" w14:textId="0793D9E4" w:rsidR="00CD5E10" w:rsidRPr="000B0E2D" w:rsidRDefault="00E71049" w:rsidP="00CD5E10">
      <w:pPr>
        <w:ind w:right="-1" w:firstLine="567"/>
        <w:jc w:val="both"/>
        <w:rPr>
          <w:lang w:val="lv-LV" w:eastAsia="de-DE"/>
        </w:rPr>
      </w:pPr>
      <w:r w:rsidRPr="000B0E2D">
        <w:rPr>
          <w:lang w:val="lv-LV" w:eastAsia="en-US"/>
        </w:rPr>
        <w:t xml:space="preserve">Papildus paskaidrojam, ka </w:t>
      </w:r>
      <w:r w:rsidR="00004AA2" w:rsidRPr="000B0E2D">
        <w:rPr>
          <w:lang w:val="lv-LV" w:eastAsia="en-US"/>
        </w:rPr>
        <w:t>IZNOMĀTĀJS</w:t>
      </w:r>
      <w:r w:rsidR="00982589" w:rsidRPr="000B0E2D">
        <w:rPr>
          <w:lang w:val="lv-LV" w:eastAsia="en-US"/>
        </w:rPr>
        <w:t>,</w:t>
      </w:r>
      <w:r w:rsidR="00B62A1A" w:rsidRPr="000B0E2D">
        <w:rPr>
          <w:lang w:val="lv-LV" w:eastAsia="en-US"/>
        </w:rPr>
        <w:t xml:space="preserve"> </w:t>
      </w:r>
      <w:proofErr w:type="gramStart"/>
      <w:r w:rsidR="00982589" w:rsidRPr="000B0E2D">
        <w:rPr>
          <w:lang w:val="lv-LV"/>
        </w:rPr>
        <w:t>2021.gada</w:t>
      </w:r>
      <w:proofErr w:type="gramEnd"/>
      <w:r w:rsidR="00982589" w:rsidRPr="000B0E2D">
        <w:rPr>
          <w:lang w:val="lv-LV"/>
        </w:rPr>
        <w:t xml:space="preserve"> 15.martā ar publikāciju RP SIA “Rīgas satiksme” mājas lapā izsludināja </w:t>
      </w:r>
      <w:r w:rsidR="00C01BC5" w:rsidRPr="000B0E2D">
        <w:rPr>
          <w:lang w:val="lv-LV"/>
        </w:rPr>
        <w:t>izsoli</w:t>
      </w:r>
      <w:r w:rsidR="00982589" w:rsidRPr="000B0E2D">
        <w:rPr>
          <w:lang w:val="lv-LV"/>
        </w:rPr>
        <w:t xml:space="preserve"> “Par līguma par reklāmas nesēju nomu slēgšanas tiesību piešķiršanu” (ID Nr. RS/2021/14). </w:t>
      </w:r>
      <w:r w:rsidR="00B27894" w:rsidRPr="000B0E2D">
        <w:rPr>
          <w:lang w:val="lv-LV"/>
        </w:rPr>
        <w:t xml:space="preserve">Lai nodrošinātu efektīvu </w:t>
      </w:r>
      <w:r w:rsidR="00B27894" w:rsidRPr="000B0E2D">
        <w:rPr>
          <w:lang w:val="lv-LV" w:eastAsia="en-US"/>
        </w:rPr>
        <w:t>IZNOMĀTĀJA īpašumā vai valdījumā esošo reklāmas nesēju izmantošanu</w:t>
      </w:r>
      <w:r w:rsidR="00B27894" w:rsidRPr="000B0E2D">
        <w:rPr>
          <w:lang w:val="lv-LV"/>
        </w:rPr>
        <w:t xml:space="preserve"> </w:t>
      </w:r>
      <w:proofErr w:type="gramStart"/>
      <w:r w:rsidR="00B27894" w:rsidRPr="000B0E2D">
        <w:rPr>
          <w:lang w:val="lv-LV"/>
        </w:rPr>
        <w:t>un,</w:t>
      </w:r>
      <w:proofErr w:type="gramEnd"/>
      <w:r w:rsidR="00B27894" w:rsidRPr="000B0E2D">
        <w:rPr>
          <w:lang w:val="lv-LV"/>
        </w:rPr>
        <w:t xml:space="preserve"> lai </w:t>
      </w:r>
      <w:r w:rsidR="00C83AAA" w:rsidRPr="000B0E2D">
        <w:rPr>
          <w:lang w:val="lv-LV"/>
        </w:rPr>
        <w:t xml:space="preserve">tiktu noslēgts līgums ar </w:t>
      </w:r>
      <w:r w:rsidR="00591F72" w:rsidRPr="000B0E2D">
        <w:rPr>
          <w:lang w:val="lv-LV"/>
        </w:rPr>
        <w:t>pretendentu, kurš spēj izpildīt līgumu</w:t>
      </w:r>
      <w:r w:rsidR="00F328A3" w:rsidRPr="000B0E2D">
        <w:rPr>
          <w:lang w:val="lv-LV"/>
        </w:rPr>
        <w:t xml:space="preserve">, Iepirkumu komisija konstatēja, ka ir nepieciešams veikt </w:t>
      </w:r>
      <w:r w:rsidR="00CD5E10" w:rsidRPr="000B0E2D">
        <w:rPr>
          <w:lang w:val="lv-LV" w:eastAsia="de-DE"/>
        </w:rPr>
        <w:t xml:space="preserve">grozījumus </w:t>
      </w:r>
      <w:r w:rsidR="00C01BC5" w:rsidRPr="000B0E2D">
        <w:rPr>
          <w:lang w:val="lv-LV" w:eastAsia="de-DE"/>
        </w:rPr>
        <w:t>izsoles</w:t>
      </w:r>
      <w:r w:rsidR="00CD5E10" w:rsidRPr="000B0E2D">
        <w:rPr>
          <w:lang w:val="lv-LV" w:eastAsia="de-DE"/>
        </w:rPr>
        <w:t xml:space="preserve"> nolikumā, precizējot konkursa nolikumā ietvertās kvalifikācijas prasības attiecībā uz pretendenta tehniskajām un profesionālajām spējām. Ņemot vērā, ka</w:t>
      </w:r>
      <w:r w:rsidR="00786943" w:rsidRPr="000B0E2D">
        <w:rPr>
          <w:lang w:val="lv-LV" w:eastAsia="de-DE"/>
        </w:rPr>
        <w:t xml:space="preserve"> nepieciešamība veikt grozījumus izsoles nolikumā tika konstatēta piedāvājumu vērtēšanas gaitā, Iepirkumu komisija pieņēma lēmumu pārtraukt izsoli. </w:t>
      </w:r>
    </w:p>
    <w:p w14:paraId="51424E48" w14:textId="3A5D9E6F" w:rsidR="00200490" w:rsidRPr="000B0E2D" w:rsidRDefault="00610D84" w:rsidP="00CD5E10">
      <w:pPr>
        <w:ind w:right="-1" w:firstLine="567"/>
        <w:jc w:val="both"/>
        <w:rPr>
          <w:lang w:val="lv-LV" w:eastAsia="de-DE"/>
        </w:rPr>
      </w:pPr>
      <w:r w:rsidRPr="000B0E2D">
        <w:rPr>
          <w:lang w:val="lv-LV"/>
        </w:rPr>
        <w:t xml:space="preserve">Iespējamais </w:t>
      </w:r>
      <w:r w:rsidR="003A3576" w:rsidRPr="000B0E2D">
        <w:rPr>
          <w:lang w:val="lv-LV"/>
        </w:rPr>
        <w:t xml:space="preserve">Pretendents savā </w:t>
      </w:r>
      <w:r w:rsidR="00C56F01" w:rsidRPr="000B0E2D">
        <w:rPr>
          <w:lang w:val="lv-LV"/>
        </w:rPr>
        <w:t xml:space="preserve">vēstulē norāda, </w:t>
      </w:r>
      <w:r w:rsidR="00B51CF3" w:rsidRPr="000B0E2D">
        <w:rPr>
          <w:lang w:val="lv-LV"/>
        </w:rPr>
        <w:t xml:space="preserve">ka </w:t>
      </w:r>
      <w:r w:rsidR="00C56F01" w:rsidRPr="000B0E2D">
        <w:rPr>
          <w:lang w:val="lv-LV"/>
        </w:rPr>
        <w:t>visticamāk, konkursā piedalīsies tie paši pretendenti, kas piedalījās Pārtrauktajā konkursā un kuriem būs zināmas citu Konkursa pretendentu piedāvātās cenas, līdz ar to, nav pieļaujams, ka attiecībā uz Konkursu tiek piemēroti tie paši piedāvājumu sagatavošanas un vērtēšanas noteikumi kā Pārtrauktajā konkursā, jo tie neveicina brīvu un godīgu konkurenci iespējamo pretendentu starpā. Esot šādiem noteikumiem situācijā, kad pretendentiem būtu zināma citu konkurentu solītā cena, netiktu sasniegts Konkurences likuma 2.pantā paredzētais mērķis, t.sk., aizsargāt, saglabāt un attīstīt brīvu, godīgu un vienlīdzīgu konkurenci</w:t>
      </w:r>
      <w:r w:rsidR="004E3B76" w:rsidRPr="000B0E2D">
        <w:rPr>
          <w:lang w:val="lv-LV"/>
        </w:rPr>
        <w:t>.</w:t>
      </w:r>
    </w:p>
    <w:p w14:paraId="091382B8" w14:textId="65EC45FA" w:rsidR="00011903" w:rsidRPr="000B0E2D" w:rsidRDefault="00C2342C" w:rsidP="00712904">
      <w:pPr>
        <w:ind w:firstLine="720"/>
        <w:jc w:val="both"/>
        <w:rPr>
          <w:color w:val="212529"/>
          <w:shd w:val="clear" w:color="auto" w:fill="FFFFFF"/>
          <w:lang w:val="lv-LV"/>
        </w:rPr>
      </w:pPr>
      <w:r w:rsidRPr="000B0E2D">
        <w:rPr>
          <w:lang w:val="lv-LV"/>
        </w:rPr>
        <w:t>Saskaņā ar Konkurences padomes vadlīnijām</w:t>
      </w:r>
      <w:r w:rsidR="000D1C5E" w:rsidRPr="000B0E2D">
        <w:rPr>
          <w:lang w:val="lv-LV"/>
        </w:rPr>
        <w:t>,</w:t>
      </w:r>
      <w:r w:rsidR="004E4B54" w:rsidRPr="000B0E2D">
        <w:rPr>
          <w:lang w:val="lv-LV"/>
        </w:rPr>
        <w:t xml:space="preserve"> </w:t>
      </w:r>
      <w:r w:rsidR="00221745" w:rsidRPr="000B0E2D">
        <w:rPr>
          <w:lang w:val="lv-LV"/>
        </w:rPr>
        <w:t>izsol</w:t>
      </w:r>
      <w:r w:rsidR="00712904" w:rsidRPr="000B0E2D">
        <w:rPr>
          <w:lang w:val="lv-LV"/>
        </w:rPr>
        <w:t xml:space="preserve">ēs ir jānodrošina </w:t>
      </w:r>
      <w:r w:rsidR="00407315" w:rsidRPr="000B0E2D">
        <w:rPr>
          <w:color w:val="212529"/>
          <w:shd w:val="clear" w:color="auto" w:fill="FFFFFF"/>
          <w:lang w:val="lv-LV"/>
        </w:rPr>
        <w:t>“brīva un godīga konkurence”</w:t>
      </w:r>
      <w:r w:rsidR="00712904" w:rsidRPr="000B0E2D">
        <w:rPr>
          <w:color w:val="212529"/>
          <w:shd w:val="clear" w:color="auto" w:fill="FFFFFF"/>
          <w:lang w:val="lv-LV"/>
        </w:rPr>
        <w:t>, tas ir,</w:t>
      </w:r>
      <w:r w:rsidR="00407315" w:rsidRPr="000B0E2D">
        <w:rPr>
          <w:color w:val="212529"/>
          <w:shd w:val="clear" w:color="auto" w:fill="FFFFFF"/>
          <w:lang w:val="lv-LV"/>
        </w:rPr>
        <w:t xml:space="preserve"> </w:t>
      </w:r>
      <w:r w:rsidR="00E54224" w:rsidRPr="000B0E2D">
        <w:rPr>
          <w:lang w:val="lv-LV"/>
        </w:rPr>
        <w:t>vienādas attieksmes un vienlīdzīgas iespējas visiem pretendentiem</w:t>
      </w:r>
      <w:r w:rsidR="00F533BD" w:rsidRPr="000B0E2D">
        <w:rPr>
          <w:color w:val="212529"/>
          <w:shd w:val="clear" w:color="auto" w:fill="FFFFFF"/>
          <w:lang w:val="lv-LV"/>
        </w:rPr>
        <w:t>. I</w:t>
      </w:r>
      <w:r w:rsidR="00E50A11" w:rsidRPr="000B0E2D">
        <w:rPr>
          <w:lang w:val="lv-LV"/>
        </w:rPr>
        <w:t>zstrādājot nolikumu un tehnisk</w:t>
      </w:r>
      <w:r w:rsidR="00F533BD" w:rsidRPr="000B0E2D">
        <w:rPr>
          <w:lang w:val="lv-LV"/>
        </w:rPr>
        <w:t>o</w:t>
      </w:r>
      <w:r w:rsidR="00E50A11" w:rsidRPr="000B0E2D">
        <w:rPr>
          <w:lang w:val="lv-LV"/>
        </w:rPr>
        <w:t xml:space="preserve"> specifikācij</w:t>
      </w:r>
      <w:r w:rsidR="00F533BD" w:rsidRPr="000B0E2D">
        <w:rPr>
          <w:lang w:val="lv-LV"/>
        </w:rPr>
        <w:t>u</w:t>
      </w:r>
      <w:r w:rsidR="00E50A11" w:rsidRPr="000B0E2D">
        <w:rPr>
          <w:lang w:val="lv-LV"/>
        </w:rPr>
        <w:t>, ir jāpārliecinās, lai tajās ietvertās prasības veicinātu iespējami daudz pretendentu dalību, nodrošinot publisko līdzekļu efektīvu izmantošanu, izvēloties izdevīgāko piedāvājumu</w:t>
      </w:r>
      <w:r w:rsidR="00F533BD" w:rsidRPr="000B0E2D">
        <w:rPr>
          <w:lang w:val="lv-LV"/>
        </w:rPr>
        <w:t xml:space="preserve">. </w:t>
      </w:r>
    </w:p>
    <w:p w14:paraId="65F0B4B3" w14:textId="4E1AC117" w:rsidR="00A33F54" w:rsidRPr="000B0E2D" w:rsidRDefault="00610D84" w:rsidP="00A33F54">
      <w:pPr>
        <w:ind w:right="-1" w:firstLine="567"/>
        <w:jc w:val="both"/>
        <w:rPr>
          <w:lang w:val="lv-LV" w:eastAsia="en-US"/>
        </w:rPr>
      </w:pPr>
      <w:r w:rsidRPr="000B0E2D">
        <w:rPr>
          <w:lang w:val="lv-LV" w:eastAsia="de-DE"/>
        </w:rPr>
        <w:lastRenderedPageBreak/>
        <w:t xml:space="preserve">Šobrīd IZNOMĀTĀJS ir izsludinājis jaunu </w:t>
      </w:r>
      <w:r w:rsidR="003A668A" w:rsidRPr="000B0E2D">
        <w:rPr>
          <w:lang w:val="lv-LV" w:eastAsia="de-DE"/>
        </w:rPr>
        <w:t xml:space="preserve">atklātu </w:t>
      </w:r>
      <w:r w:rsidRPr="000B0E2D">
        <w:rPr>
          <w:lang w:val="lv-LV" w:eastAsia="de-DE"/>
        </w:rPr>
        <w:t xml:space="preserve">rakstisku izsoli </w:t>
      </w:r>
      <w:r w:rsidRPr="000B0E2D">
        <w:rPr>
          <w:lang w:val="lv-LV"/>
        </w:rPr>
        <w:t>“Par līguma</w:t>
      </w:r>
      <w:proofErr w:type="gramStart"/>
      <w:r w:rsidRPr="000B0E2D">
        <w:rPr>
          <w:lang w:val="lv-LV"/>
        </w:rPr>
        <w:t xml:space="preserve"> par</w:t>
      </w:r>
      <w:proofErr w:type="gramEnd"/>
      <w:r w:rsidRPr="000B0E2D">
        <w:rPr>
          <w:lang w:val="lv-LV"/>
        </w:rPr>
        <w:t xml:space="preserve"> reklāmas nesēju nomu slēgšanas tiesību piešķiršanu” un visiem iespējamajiem pretendentiem, kuri </w:t>
      </w:r>
      <w:r w:rsidR="005C3D7D" w:rsidRPr="000B0E2D">
        <w:rPr>
          <w:lang w:val="lv-LV"/>
        </w:rPr>
        <w:t xml:space="preserve">darbojas </w:t>
      </w:r>
      <w:r w:rsidRPr="000B0E2D">
        <w:rPr>
          <w:lang w:val="lv-LV"/>
        </w:rPr>
        <w:t>attiecīgajā tirgus segmentā un atbilst Izsoles nolikumā izvirzītajām prasībām</w:t>
      </w:r>
      <w:r w:rsidR="005C3D7D" w:rsidRPr="000B0E2D">
        <w:rPr>
          <w:lang w:val="lv-LV"/>
        </w:rPr>
        <w:t>,</w:t>
      </w:r>
      <w:r w:rsidRPr="000B0E2D">
        <w:rPr>
          <w:lang w:val="lv-LV"/>
        </w:rPr>
        <w:t xml:space="preserve"> ir iespēja piedalīties rakstiskā izsolē, </w:t>
      </w:r>
      <w:r w:rsidRPr="000B0E2D">
        <w:rPr>
          <w:lang w:val="lv-LV" w:eastAsia="en-US"/>
        </w:rPr>
        <w:t>līdz ar to IZNOMĀTĀJS ir nodrošinājis brīvu, vienlīdzīgu un godīgu konkurenci.</w:t>
      </w:r>
      <w:r w:rsidR="00B755D2" w:rsidRPr="000B0E2D">
        <w:rPr>
          <w:lang w:val="lv-LV" w:eastAsia="en-US"/>
        </w:rPr>
        <w:t xml:space="preserve"> </w:t>
      </w:r>
      <w:r w:rsidR="003A668A" w:rsidRPr="000B0E2D">
        <w:rPr>
          <w:lang w:val="lv-LV" w:eastAsia="en-US"/>
        </w:rPr>
        <w:t xml:space="preserve"> </w:t>
      </w:r>
      <w:r w:rsidR="00B755D2" w:rsidRPr="000B0E2D">
        <w:rPr>
          <w:lang w:val="lv-LV" w:eastAsia="en-US"/>
        </w:rPr>
        <w:t xml:space="preserve">Nav pamatots apgalvojums, ka visi reklāmas tirgus dalībnieki, kuri potenciāli varētu piedalīties izsolē, jau iesniedza piedāvājumus iepriekšējā izsolē. </w:t>
      </w:r>
      <w:r w:rsidR="00D75C5C" w:rsidRPr="000B0E2D">
        <w:rPr>
          <w:lang w:val="lv-LV" w:eastAsia="en-US"/>
        </w:rPr>
        <w:t>Pretendentie</w:t>
      </w:r>
      <w:r w:rsidR="000874F9" w:rsidRPr="000B0E2D">
        <w:rPr>
          <w:lang w:val="lv-LV" w:eastAsia="en-US"/>
        </w:rPr>
        <w:t xml:space="preserve">m piedaloties izsolē, ir jāiesniedz Finanšu piedāvājums, norādot </w:t>
      </w:r>
      <w:r w:rsidR="004355CF" w:rsidRPr="000B0E2D">
        <w:rPr>
          <w:lang w:val="lv-LV" w:eastAsia="en-US"/>
        </w:rPr>
        <w:t>piedāvātās</w:t>
      </w:r>
      <w:r w:rsidR="00F53441" w:rsidRPr="000B0E2D">
        <w:rPr>
          <w:lang w:val="lv-LV" w:eastAsia="en-US"/>
        </w:rPr>
        <w:t xml:space="preserve"> </w:t>
      </w:r>
      <w:r w:rsidR="004355CF" w:rsidRPr="000B0E2D">
        <w:rPr>
          <w:lang w:val="lv-LV" w:eastAsia="en-US"/>
        </w:rPr>
        <w:t>cena</w:t>
      </w:r>
      <w:r w:rsidR="00DD3C62" w:rsidRPr="000B0E2D">
        <w:rPr>
          <w:lang w:val="lv-LV" w:eastAsia="en-US"/>
        </w:rPr>
        <w:t>s</w:t>
      </w:r>
      <w:r w:rsidR="00B936B9" w:rsidRPr="000B0E2D">
        <w:rPr>
          <w:lang w:val="lv-LV" w:eastAsia="en-US"/>
        </w:rPr>
        <w:t xml:space="preserve">, neatkarīgi no </w:t>
      </w:r>
      <w:r w:rsidR="007701CD" w:rsidRPr="000B0E2D">
        <w:rPr>
          <w:lang w:val="lv-LV" w:eastAsia="en-US"/>
        </w:rPr>
        <w:t>iepriekšējās izsolēs piedāvātajām cenām.</w:t>
      </w:r>
      <w:r w:rsidR="00DD3C62" w:rsidRPr="000B0E2D">
        <w:rPr>
          <w:lang w:val="lv-LV" w:eastAsia="en-US"/>
        </w:rPr>
        <w:t xml:space="preserve"> </w:t>
      </w:r>
      <w:r w:rsidR="000C5AE6" w:rsidRPr="000B0E2D">
        <w:rPr>
          <w:lang w:val="lv-LV" w:eastAsia="en-US"/>
        </w:rPr>
        <w:t xml:space="preserve">Līdz ar to, nav saprotama iespējamā pretendenta norāde, ka </w:t>
      </w:r>
      <w:r w:rsidR="000C5AE6" w:rsidRPr="000B0E2D">
        <w:rPr>
          <w:lang w:val="lv-LV"/>
        </w:rPr>
        <w:t xml:space="preserve">situācijā, kad pretendentiem būtu zināma citu konkurentu solītā cena, netiktu sasniegts Konkurences likuma 2.pantā paredzētais mērķis, t.sk., aizsargāt, saglabāt un attīstīt brīvu, godīgu un vienlīdzīgu konkurenci. </w:t>
      </w:r>
      <w:r w:rsidR="00165493" w:rsidRPr="000B0E2D">
        <w:rPr>
          <w:lang w:val="lv-LV" w:eastAsia="de-DE"/>
        </w:rPr>
        <w:t xml:space="preserve"> </w:t>
      </w:r>
      <w:r w:rsidR="005C3D7D" w:rsidRPr="000B0E2D">
        <w:rPr>
          <w:lang w:val="lv-LV" w:eastAsia="de-DE"/>
        </w:rPr>
        <w:t>Proti, nav pamats uzskatīt, ka pretendenti iesniegs tieši tādas pašas cenas kā iepriekšējā izsolē</w:t>
      </w:r>
      <w:r w:rsidR="00B755D2" w:rsidRPr="000B0E2D">
        <w:rPr>
          <w:lang w:val="lv-LV" w:eastAsia="de-DE"/>
        </w:rPr>
        <w:t>,</w:t>
      </w:r>
      <w:r w:rsidR="005C3D7D" w:rsidRPr="000B0E2D">
        <w:rPr>
          <w:lang w:val="lv-LV" w:eastAsia="de-DE"/>
        </w:rPr>
        <w:t xml:space="preserve"> un attiecīgi arī nav pamat</w:t>
      </w:r>
      <w:r w:rsidR="00B755D2" w:rsidRPr="000B0E2D">
        <w:rPr>
          <w:lang w:val="lv-LV" w:eastAsia="de-DE"/>
        </w:rPr>
        <w:t>s</w:t>
      </w:r>
      <w:r w:rsidR="005C3D7D" w:rsidRPr="000B0E2D">
        <w:rPr>
          <w:lang w:val="lv-LV" w:eastAsia="de-DE"/>
        </w:rPr>
        <w:t xml:space="preserve"> uzskatīt</w:t>
      </w:r>
      <w:r w:rsidR="00B755D2" w:rsidRPr="000B0E2D">
        <w:rPr>
          <w:lang w:val="lv-LV" w:eastAsia="de-DE"/>
        </w:rPr>
        <w:t>,</w:t>
      </w:r>
      <w:r w:rsidR="005C3D7D" w:rsidRPr="000B0E2D">
        <w:rPr>
          <w:lang w:val="lv-LV" w:eastAsia="de-DE"/>
        </w:rPr>
        <w:t xml:space="preserve"> ka pretendentiem varētu būt zināmas konkurentu cenas.  </w:t>
      </w:r>
      <w:r w:rsidR="00C913BB" w:rsidRPr="000B0E2D">
        <w:rPr>
          <w:lang w:val="lv-LV" w:eastAsia="de-DE"/>
        </w:rPr>
        <w:t xml:space="preserve"> </w:t>
      </w:r>
    </w:p>
    <w:p w14:paraId="09FF96E9" w14:textId="6C8E9CC2" w:rsidR="003A668A" w:rsidRPr="000B0E2D" w:rsidRDefault="007701CD" w:rsidP="00165493">
      <w:pPr>
        <w:ind w:right="-1" w:firstLine="567"/>
        <w:jc w:val="both"/>
        <w:rPr>
          <w:lang w:val="lv-LV" w:eastAsia="de-DE"/>
        </w:rPr>
      </w:pPr>
      <w:r w:rsidRPr="000B0E2D">
        <w:rPr>
          <w:lang w:val="lv-LV" w:eastAsia="en-US"/>
        </w:rPr>
        <w:t xml:space="preserve">Bez tam, </w:t>
      </w:r>
      <w:r w:rsidR="00ED463B" w:rsidRPr="000B0E2D">
        <w:rPr>
          <w:lang w:val="lv-LV" w:eastAsia="en-US"/>
        </w:rPr>
        <w:t xml:space="preserve">lai pierādītu savu atbilstību </w:t>
      </w:r>
      <w:r w:rsidR="00B76C50" w:rsidRPr="000B0E2D">
        <w:rPr>
          <w:lang w:val="lv-LV" w:eastAsia="en-US"/>
        </w:rPr>
        <w:t xml:space="preserve">nolikumā izvirzītajām </w:t>
      </w:r>
      <w:r w:rsidR="005F09A1" w:rsidRPr="000B0E2D">
        <w:rPr>
          <w:lang w:val="lv-LV" w:eastAsia="en-US"/>
        </w:rPr>
        <w:t xml:space="preserve">prasībām, </w:t>
      </w:r>
      <w:proofErr w:type="gramStart"/>
      <w:r w:rsidR="005F09A1" w:rsidRPr="000B0E2D">
        <w:rPr>
          <w:lang w:val="lv-LV" w:eastAsia="en-US"/>
        </w:rPr>
        <w:t>kā piemēram</w:t>
      </w:r>
      <w:proofErr w:type="gramEnd"/>
      <w:r w:rsidR="005F09A1" w:rsidRPr="000B0E2D">
        <w:rPr>
          <w:lang w:val="lv-LV" w:eastAsia="en-US"/>
        </w:rPr>
        <w:t xml:space="preserve">, </w:t>
      </w:r>
      <w:r w:rsidR="005F188E" w:rsidRPr="000B0E2D">
        <w:rPr>
          <w:lang w:val="lv-LV" w:eastAsia="en-US"/>
        </w:rPr>
        <w:t>profesionālajām spējām</w:t>
      </w:r>
      <w:r w:rsidR="00B76C50" w:rsidRPr="000B0E2D">
        <w:rPr>
          <w:lang w:val="lv-LV" w:eastAsia="en-US"/>
        </w:rPr>
        <w:t xml:space="preserve">, pretendentiem ir jāiesniedz </w:t>
      </w:r>
      <w:r w:rsidR="005F188E" w:rsidRPr="000B0E2D">
        <w:rPr>
          <w:lang w:val="lv-LV" w:eastAsia="en-US"/>
        </w:rPr>
        <w:t>atlases dokumenti.</w:t>
      </w:r>
      <w:r w:rsidR="00107A19" w:rsidRPr="000B0E2D">
        <w:rPr>
          <w:lang w:val="lv-LV" w:eastAsia="en-US"/>
        </w:rPr>
        <w:t xml:space="preserve"> </w:t>
      </w:r>
      <w:r w:rsidR="00B755D2" w:rsidRPr="000B0E2D">
        <w:rPr>
          <w:lang w:val="lv-LV" w:eastAsia="en-US"/>
        </w:rPr>
        <w:t>Praksē b</w:t>
      </w:r>
      <w:r w:rsidR="00107A19" w:rsidRPr="000B0E2D">
        <w:rPr>
          <w:lang w:val="lv-LV" w:eastAsia="en-US"/>
        </w:rPr>
        <w:t xml:space="preserve">ieži </w:t>
      </w:r>
      <w:r w:rsidR="00B021D9" w:rsidRPr="000B0E2D">
        <w:rPr>
          <w:lang w:val="lv-LV" w:eastAsia="en-US"/>
        </w:rPr>
        <w:t xml:space="preserve">no pretendentiem </w:t>
      </w:r>
      <w:r w:rsidR="00107A19" w:rsidRPr="000B0E2D">
        <w:rPr>
          <w:lang w:val="lv-LV" w:eastAsia="en-US"/>
        </w:rPr>
        <w:t xml:space="preserve">ir nepieciešams </w:t>
      </w:r>
      <w:r w:rsidR="005A3180" w:rsidRPr="000B0E2D">
        <w:rPr>
          <w:lang w:val="lv-LV" w:eastAsia="en-US"/>
        </w:rPr>
        <w:t>pieprasīt papildu informāciju</w:t>
      </w:r>
      <w:r w:rsidR="006F0522" w:rsidRPr="000B0E2D">
        <w:rPr>
          <w:lang w:val="lv-LV" w:eastAsia="en-US"/>
        </w:rPr>
        <w:t xml:space="preserve"> par iesniegtajiem dokumentiem. </w:t>
      </w:r>
      <w:r w:rsidR="000E5F56" w:rsidRPr="000B0E2D">
        <w:rPr>
          <w:lang w:val="lv-LV" w:eastAsia="en-US"/>
        </w:rPr>
        <w:t xml:space="preserve">Ņemot vērā, ka par </w:t>
      </w:r>
      <w:r w:rsidR="00CE35F4" w:rsidRPr="000B0E2D">
        <w:rPr>
          <w:lang w:val="lv-LV" w:eastAsia="en-US"/>
        </w:rPr>
        <w:t>izsoles uzv</w:t>
      </w:r>
      <w:r w:rsidR="00FF5AF9" w:rsidRPr="000B0E2D">
        <w:rPr>
          <w:lang w:val="lv-LV" w:eastAsia="en-US"/>
        </w:rPr>
        <w:t>a</w:t>
      </w:r>
      <w:r w:rsidR="00CE35F4" w:rsidRPr="000B0E2D">
        <w:rPr>
          <w:lang w:val="lv-LV" w:eastAsia="en-US"/>
        </w:rPr>
        <w:t>rētāju ir atzīstams</w:t>
      </w:r>
      <w:r w:rsidR="000E5F56" w:rsidRPr="000B0E2D">
        <w:rPr>
          <w:lang w:val="lv-LV" w:eastAsia="en-US"/>
        </w:rPr>
        <w:t xml:space="preserve"> </w:t>
      </w:r>
      <w:r w:rsidR="00FF5AF9" w:rsidRPr="000B0E2D">
        <w:rPr>
          <w:lang w:val="lv-LV" w:eastAsia="en-US"/>
        </w:rPr>
        <w:t xml:space="preserve">pretendents </w:t>
      </w:r>
      <w:r w:rsidR="00A7082D" w:rsidRPr="000B0E2D">
        <w:rPr>
          <w:lang w:val="lv-LV" w:eastAsia="en-US"/>
        </w:rPr>
        <w:t xml:space="preserve">ar saimnieciski izdevīgāko piedāvājumu, </w:t>
      </w:r>
      <w:r w:rsidR="00C33555" w:rsidRPr="000B0E2D">
        <w:rPr>
          <w:lang w:val="lv-LV" w:eastAsia="en-US"/>
        </w:rPr>
        <w:t xml:space="preserve">kurš atbilst nolikumā izvirzītajām atlases prasībām, </w:t>
      </w:r>
      <w:r w:rsidR="00B021D9" w:rsidRPr="000B0E2D">
        <w:rPr>
          <w:lang w:val="lv-LV" w:eastAsia="en-US"/>
        </w:rPr>
        <w:t xml:space="preserve">IZNOMĀTĀJS rīko rakstisku izsoli, lai pirms lēmuma pieņemšanas var </w:t>
      </w:r>
      <w:r w:rsidR="00902C20" w:rsidRPr="000B0E2D">
        <w:rPr>
          <w:lang w:val="lv-LV" w:eastAsia="en-US"/>
        </w:rPr>
        <w:t xml:space="preserve">izvērtēt visus iesniegtos dokumentus. </w:t>
      </w:r>
    </w:p>
    <w:p w14:paraId="6949D93D" w14:textId="23E461A0" w:rsidR="00F11B08" w:rsidRPr="000B0E2D" w:rsidRDefault="00874BF7" w:rsidP="000C3034">
      <w:pPr>
        <w:ind w:right="-1" w:firstLine="567"/>
        <w:jc w:val="both"/>
        <w:rPr>
          <w:lang w:val="lv-LV"/>
        </w:rPr>
      </w:pPr>
      <w:r w:rsidRPr="000B0E2D">
        <w:rPr>
          <w:lang w:val="lv-LV"/>
        </w:rPr>
        <w:tab/>
      </w:r>
      <w:r w:rsidR="00823AE9" w:rsidRPr="000B0E2D">
        <w:rPr>
          <w:lang w:val="lv-LV"/>
        </w:rPr>
        <w:tab/>
      </w:r>
    </w:p>
    <w:p w14:paraId="1EE439AD" w14:textId="12AF0FBF" w:rsidR="00823AE9" w:rsidRPr="000B0E2D" w:rsidRDefault="00823AE9" w:rsidP="00823AE9">
      <w:pPr>
        <w:pStyle w:val="CommentText"/>
        <w:spacing w:after="0"/>
        <w:jc w:val="both"/>
        <w:rPr>
          <w:sz w:val="24"/>
          <w:szCs w:val="24"/>
        </w:rPr>
      </w:pPr>
      <w:r w:rsidRPr="000B0E2D">
        <w:rPr>
          <w:rFonts w:ascii="Times New Roman" w:hAnsi="Times New Roman"/>
          <w:sz w:val="24"/>
          <w:szCs w:val="24"/>
        </w:rPr>
        <w:tab/>
      </w:r>
    </w:p>
    <w:p w14:paraId="3485540D" w14:textId="77777777" w:rsidR="00823AE9" w:rsidRPr="000B0E2D" w:rsidRDefault="00823AE9" w:rsidP="00823AE9">
      <w:pPr>
        <w:ind w:left="1080"/>
        <w:jc w:val="both"/>
        <w:rPr>
          <w:lang w:val="lv-LV"/>
        </w:rPr>
      </w:pPr>
    </w:p>
    <w:p w14:paraId="51B50F43" w14:textId="77777777" w:rsidR="00823AE9" w:rsidRPr="000B0E2D" w:rsidRDefault="00823AE9" w:rsidP="00823AE9">
      <w:pPr>
        <w:rPr>
          <w:lang w:val="lv-LV"/>
        </w:rPr>
      </w:pPr>
    </w:p>
    <w:p w14:paraId="2A17554F" w14:textId="77777777" w:rsidR="00823AE9" w:rsidRPr="000B0E2D" w:rsidRDefault="00823AE9" w:rsidP="00823AE9">
      <w:pPr>
        <w:rPr>
          <w:lang w:val="lv-LV"/>
        </w:rPr>
      </w:pPr>
      <w:r w:rsidRPr="000B0E2D">
        <w:rPr>
          <w:lang w:val="lv-LV"/>
        </w:rPr>
        <w:br/>
      </w:r>
    </w:p>
    <w:p w14:paraId="598ECB8F" w14:textId="2F3D813A" w:rsidR="00953DD9" w:rsidRPr="000B0E2D" w:rsidRDefault="00953DD9">
      <w:pPr>
        <w:rPr>
          <w:lang w:val="lv-LV"/>
        </w:rPr>
      </w:pPr>
    </w:p>
    <w:sectPr w:rsidR="00953DD9" w:rsidRPr="000B0E2D" w:rsidSect="00610D84">
      <w:headerReference w:type="first" r:id="rId10"/>
      <w:pgSz w:w="11906" w:h="16838"/>
      <w:pgMar w:top="851" w:right="567" w:bottom="1418" w:left="1701" w:header="720" w:footer="72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8219E" w14:textId="77777777" w:rsidR="00697BF6" w:rsidRDefault="00697BF6">
      <w:r>
        <w:separator/>
      </w:r>
    </w:p>
  </w:endnote>
  <w:endnote w:type="continuationSeparator" w:id="0">
    <w:p w14:paraId="5030C37F" w14:textId="77777777" w:rsidR="00697BF6" w:rsidRDefault="00697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54D27" w14:textId="77777777" w:rsidR="00697BF6" w:rsidRDefault="00697BF6">
      <w:r>
        <w:separator/>
      </w:r>
    </w:p>
  </w:footnote>
  <w:footnote w:type="continuationSeparator" w:id="0">
    <w:p w14:paraId="3AA13006" w14:textId="77777777" w:rsidR="00697BF6" w:rsidRDefault="00697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402F4" w14:textId="7DE6DC51" w:rsidR="00953DD9" w:rsidRDefault="00A90DA1">
    <w:pPr>
      <w:pStyle w:val="Header"/>
    </w:pPr>
    <w:r>
      <w:rPr>
        <w:noProof/>
      </w:rPr>
      <w:drawing>
        <wp:inline distT="0" distB="0" distL="0" distR="0" wp14:anchorId="5231C3A2" wp14:editId="78BCCBE4">
          <wp:extent cx="5534025" cy="21621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4025" cy="2162175"/>
                  </a:xfrm>
                  <a:prstGeom prst="rect">
                    <a:avLst/>
                  </a:prstGeom>
                  <a:solidFill>
                    <a:srgbClr val="FFFFFF"/>
                  </a:solidFill>
                  <a:ln>
                    <a:noFill/>
                  </a:ln>
                </pic:spPr>
              </pic:pic>
            </a:graphicData>
          </a:graphic>
        </wp:inline>
      </w:drawing>
    </w:r>
  </w:p>
  <w:p w14:paraId="3DE218A4" w14:textId="77777777" w:rsidR="00B533A8" w:rsidRDefault="00B533A8">
    <w:pPr>
      <w:pStyle w:val="Header"/>
    </w:pPr>
  </w:p>
  <w:p w14:paraId="25D828CA" w14:textId="3920D8D3" w:rsidR="00B533A8" w:rsidRDefault="00F41E55">
    <w:pPr>
      <w:pStyle w:val="Header"/>
    </w:pPr>
    <w:bookmarkStart w:id="1" w:name="docDate"/>
    <w:bookmarkStart w:id="2" w:name="docNr"/>
    <w:bookmarkEnd w:id="1"/>
    <w:bookmarkEnd w:id="2"/>
    <w:r>
      <w:t>12.08.2021.</w:t>
    </w:r>
    <w:r w:rsidR="00B533A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6C4434"/>
    <w:multiLevelType w:val="hybridMultilevel"/>
    <w:tmpl w:val="2812A810"/>
    <w:lvl w:ilvl="0" w:tplc="B9CC694C">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3A8"/>
    <w:rsid w:val="00004AA2"/>
    <w:rsid w:val="00011903"/>
    <w:rsid w:val="00014630"/>
    <w:rsid w:val="00025EA2"/>
    <w:rsid w:val="0008355F"/>
    <w:rsid w:val="000874F9"/>
    <w:rsid w:val="00091E5A"/>
    <w:rsid w:val="00095620"/>
    <w:rsid w:val="000B0E2D"/>
    <w:rsid w:val="000B3438"/>
    <w:rsid w:val="000C3034"/>
    <w:rsid w:val="000C5AE6"/>
    <w:rsid w:val="000D1C5E"/>
    <w:rsid w:val="000E5F56"/>
    <w:rsid w:val="00107A19"/>
    <w:rsid w:val="00133323"/>
    <w:rsid w:val="00165493"/>
    <w:rsid w:val="00186F87"/>
    <w:rsid w:val="001C640D"/>
    <w:rsid w:val="001D71A9"/>
    <w:rsid w:val="00200490"/>
    <w:rsid w:val="00204783"/>
    <w:rsid w:val="00221745"/>
    <w:rsid w:val="002819C5"/>
    <w:rsid w:val="002B2608"/>
    <w:rsid w:val="002D0F4E"/>
    <w:rsid w:val="002E1FE0"/>
    <w:rsid w:val="003A3576"/>
    <w:rsid w:val="003A668A"/>
    <w:rsid w:val="003E0C71"/>
    <w:rsid w:val="003F0501"/>
    <w:rsid w:val="003F74F5"/>
    <w:rsid w:val="004049A3"/>
    <w:rsid w:val="00406654"/>
    <w:rsid w:val="00407315"/>
    <w:rsid w:val="004355CF"/>
    <w:rsid w:val="004E3B76"/>
    <w:rsid w:val="004E4B54"/>
    <w:rsid w:val="004E5BA2"/>
    <w:rsid w:val="005331B0"/>
    <w:rsid w:val="0057274A"/>
    <w:rsid w:val="00591F72"/>
    <w:rsid w:val="005A3180"/>
    <w:rsid w:val="005C3D7D"/>
    <w:rsid w:val="005F09A1"/>
    <w:rsid w:val="005F188E"/>
    <w:rsid w:val="0060196D"/>
    <w:rsid w:val="00610D84"/>
    <w:rsid w:val="006157D9"/>
    <w:rsid w:val="00665285"/>
    <w:rsid w:val="00697BF6"/>
    <w:rsid w:val="006E3B7E"/>
    <w:rsid w:val="006F0522"/>
    <w:rsid w:val="00703A48"/>
    <w:rsid w:val="00712904"/>
    <w:rsid w:val="00712B95"/>
    <w:rsid w:val="007549D0"/>
    <w:rsid w:val="007701CD"/>
    <w:rsid w:val="0078108D"/>
    <w:rsid w:val="00786943"/>
    <w:rsid w:val="00797D76"/>
    <w:rsid w:val="00823AE9"/>
    <w:rsid w:val="00852F79"/>
    <w:rsid w:val="00874BF7"/>
    <w:rsid w:val="00902C20"/>
    <w:rsid w:val="00915F62"/>
    <w:rsid w:val="00921A58"/>
    <w:rsid w:val="00953DD9"/>
    <w:rsid w:val="00982589"/>
    <w:rsid w:val="00983097"/>
    <w:rsid w:val="009D48C8"/>
    <w:rsid w:val="00A07D62"/>
    <w:rsid w:val="00A1302B"/>
    <w:rsid w:val="00A33F54"/>
    <w:rsid w:val="00A44FE9"/>
    <w:rsid w:val="00A7082D"/>
    <w:rsid w:val="00A90DA1"/>
    <w:rsid w:val="00AC422A"/>
    <w:rsid w:val="00AC7702"/>
    <w:rsid w:val="00AF1DD3"/>
    <w:rsid w:val="00B021D9"/>
    <w:rsid w:val="00B27894"/>
    <w:rsid w:val="00B51CF3"/>
    <w:rsid w:val="00B533A8"/>
    <w:rsid w:val="00B57710"/>
    <w:rsid w:val="00B62A1A"/>
    <w:rsid w:val="00B755D2"/>
    <w:rsid w:val="00B76C50"/>
    <w:rsid w:val="00B936B9"/>
    <w:rsid w:val="00BB0501"/>
    <w:rsid w:val="00BB5187"/>
    <w:rsid w:val="00BE6CF1"/>
    <w:rsid w:val="00C011A9"/>
    <w:rsid w:val="00C01BC5"/>
    <w:rsid w:val="00C04FF0"/>
    <w:rsid w:val="00C200A2"/>
    <w:rsid w:val="00C22848"/>
    <w:rsid w:val="00C2342C"/>
    <w:rsid w:val="00C33555"/>
    <w:rsid w:val="00C56F01"/>
    <w:rsid w:val="00C83AAA"/>
    <w:rsid w:val="00C913BB"/>
    <w:rsid w:val="00CA7F28"/>
    <w:rsid w:val="00CD5E10"/>
    <w:rsid w:val="00CE2E5D"/>
    <w:rsid w:val="00CE35F4"/>
    <w:rsid w:val="00CE3982"/>
    <w:rsid w:val="00D10F76"/>
    <w:rsid w:val="00D20FBE"/>
    <w:rsid w:val="00D54D03"/>
    <w:rsid w:val="00D5559E"/>
    <w:rsid w:val="00D75C5C"/>
    <w:rsid w:val="00D76A55"/>
    <w:rsid w:val="00DD3C62"/>
    <w:rsid w:val="00E50A11"/>
    <w:rsid w:val="00E54224"/>
    <w:rsid w:val="00E71049"/>
    <w:rsid w:val="00ED463B"/>
    <w:rsid w:val="00EF02F7"/>
    <w:rsid w:val="00F11B08"/>
    <w:rsid w:val="00F124E1"/>
    <w:rsid w:val="00F313A2"/>
    <w:rsid w:val="00F328A3"/>
    <w:rsid w:val="00F41E55"/>
    <w:rsid w:val="00F533BD"/>
    <w:rsid w:val="00F53441"/>
    <w:rsid w:val="00FA603D"/>
    <w:rsid w:val="00FF5A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12048367"/>
  <w15:chartTrackingRefBased/>
  <w15:docId w15:val="{CA7D43D4-458E-403C-AA20-161457C19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eastAsia="ar-SA"/>
    </w:rPr>
  </w:style>
  <w:style w:type="paragraph" w:styleId="Heading3">
    <w:name w:val="heading 3"/>
    <w:basedOn w:val="Normal"/>
    <w:next w:val="Normal"/>
    <w:link w:val="Heading3Char"/>
    <w:unhideWhenUsed/>
    <w:qFormat/>
    <w:rsid w:val="00823AE9"/>
    <w:pPr>
      <w:keepNext/>
      <w:keepLines/>
      <w:spacing w:before="40"/>
      <w:outlineLvl w:val="2"/>
    </w:pPr>
    <w:rPr>
      <w:rFonts w:ascii="Calibri Light" w:hAnsi="Calibri Light"/>
      <w:color w:val="1F3763"/>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HeaderFooter">
    <w:name w:val="Header &amp; Footer"/>
    <w:pPr>
      <w:tabs>
        <w:tab w:val="right" w:pos="9360"/>
      </w:tabs>
      <w:suppressAutoHyphens/>
    </w:pPr>
    <w:rPr>
      <w:rFonts w:ascii="Helvetica" w:eastAsia="Helvetica" w:hAnsi="Helvetica" w:cs="Helvetica"/>
      <w:color w:val="000000"/>
      <w:lang w:val="en-US" w:eastAsia="ar-SA"/>
    </w:rPr>
  </w:style>
  <w:style w:type="paragraph" w:customStyle="1" w:styleId="Body">
    <w:name w:val="Body"/>
    <w:pPr>
      <w:suppressAutoHyphens/>
      <w:spacing w:after="240"/>
    </w:pPr>
    <w:rPr>
      <w:rFonts w:ascii="Helvetica" w:eastAsia="Helvetica" w:hAnsi="Helvetica" w:cs="Helvetica"/>
      <w:color w:val="000000"/>
      <w:sz w:val="24"/>
      <w:lang w:val="en-US" w:eastAsia="ar-SA"/>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customStyle="1" w:styleId="HeaderChar">
    <w:name w:val="Header Char"/>
    <w:link w:val="Header"/>
    <w:uiPriority w:val="99"/>
    <w:rsid w:val="00B533A8"/>
    <w:rPr>
      <w:sz w:val="24"/>
      <w:szCs w:val="24"/>
      <w:lang w:val="en-US" w:eastAsia="ar-SA"/>
    </w:rPr>
  </w:style>
  <w:style w:type="character" w:customStyle="1" w:styleId="Heading3Char">
    <w:name w:val="Heading 3 Char"/>
    <w:link w:val="Heading3"/>
    <w:rsid w:val="00823AE9"/>
    <w:rPr>
      <w:rFonts w:ascii="Calibri Light" w:hAnsi="Calibri Light"/>
      <w:color w:val="1F3763"/>
      <w:sz w:val="24"/>
      <w:szCs w:val="24"/>
      <w:lang w:val="en-US" w:eastAsia="en-US"/>
    </w:rPr>
  </w:style>
  <w:style w:type="character" w:styleId="Hyperlink">
    <w:name w:val="Hyperlink"/>
    <w:uiPriority w:val="99"/>
    <w:unhideWhenUsed/>
    <w:rsid w:val="00823AE9"/>
    <w:rPr>
      <w:color w:val="0563C1"/>
      <w:u w:val="single"/>
    </w:rPr>
  </w:style>
  <w:style w:type="paragraph" w:styleId="CommentText">
    <w:name w:val="annotation text"/>
    <w:basedOn w:val="Normal"/>
    <w:link w:val="CommentTextChar"/>
    <w:uiPriority w:val="99"/>
    <w:unhideWhenUsed/>
    <w:rsid w:val="00823AE9"/>
    <w:pPr>
      <w:spacing w:after="200"/>
    </w:pPr>
    <w:rPr>
      <w:rFonts w:ascii="Calibri" w:eastAsia="Calibri" w:hAnsi="Calibri"/>
      <w:sz w:val="20"/>
      <w:szCs w:val="20"/>
      <w:lang w:val="lv-LV" w:eastAsia="en-US"/>
    </w:rPr>
  </w:style>
  <w:style w:type="character" w:customStyle="1" w:styleId="CommentTextChar">
    <w:name w:val="Comment Text Char"/>
    <w:link w:val="CommentText"/>
    <w:uiPriority w:val="99"/>
    <w:rsid w:val="00823AE9"/>
    <w:rPr>
      <w:rFonts w:ascii="Calibri" w:eastAsia="Calibri" w:hAnsi="Calibri"/>
      <w:lang w:eastAsia="en-US"/>
    </w:rPr>
  </w:style>
  <w:style w:type="paragraph" w:styleId="BalloonText">
    <w:name w:val="Balloon Text"/>
    <w:basedOn w:val="Normal"/>
    <w:link w:val="BalloonTextChar"/>
    <w:uiPriority w:val="99"/>
    <w:semiHidden/>
    <w:unhideWhenUsed/>
    <w:rsid w:val="001C64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40D"/>
    <w:rPr>
      <w:rFonts w:ascii="Segoe UI" w:hAnsi="Segoe UI" w:cs="Segoe UI"/>
      <w:sz w:val="18"/>
      <w:szCs w:val="18"/>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890BA1D47ADD664DB52990C59AF52777" ma:contentTypeVersion="14" ma:contentTypeDescription="Izveidot jaunu dokumentu." ma:contentTypeScope="" ma:versionID="20bc6c50086e33e0804a03707826c3dd">
  <xsd:schema xmlns:xsd="http://www.w3.org/2001/XMLSchema" xmlns:xs="http://www.w3.org/2001/XMLSchema" xmlns:p="http://schemas.microsoft.com/office/2006/metadata/properties" xmlns:ns3="e0aadd45-0cb9-4db7-b51d-66ca829989ff" xmlns:ns4="cb00b6c0-659f-4f1c-aba1-d233d0ce9864" targetNamespace="http://schemas.microsoft.com/office/2006/metadata/properties" ma:root="true" ma:fieldsID="2d051f1400d5c89640f651986ca5c051" ns3:_="" ns4:_="">
    <xsd:import namespace="e0aadd45-0cb9-4db7-b51d-66ca829989ff"/>
    <xsd:import namespace="cb00b6c0-659f-4f1c-aba1-d233d0ce986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add45-0cb9-4db7-b51d-66ca829989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00b6c0-659f-4f1c-aba1-d233d0ce9864"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628D80-7485-454A-B494-AB6C29A1964D}">
  <ds:schemaRefs>
    <ds:schemaRef ds:uri="http://purl.org/dc/dcmitype/"/>
    <ds:schemaRef ds:uri="http://schemas.microsoft.com/office/2006/documentManagement/types"/>
    <ds:schemaRef ds:uri="http://schemas.microsoft.com/office/2006/metadata/properties"/>
    <ds:schemaRef ds:uri="cb00b6c0-659f-4f1c-aba1-d233d0ce9864"/>
    <ds:schemaRef ds:uri="e0aadd45-0cb9-4db7-b51d-66ca829989ff"/>
    <ds:schemaRef ds:uri="http://schemas.openxmlformats.org/package/2006/metadata/core-properties"/>
    <ds:schemaRef ds:uri="http://schemas.microsoft.com/office/infopath/2007/PartnerControls"/>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600A942B-4CA8-43F3-BFFD-B2FA69A09443}">
  <ds:schemaRefs>
    <ds:schemaRef ds:uri="http://schemas.microsoft.com/sharepoint/v3/contenttype/forms"/>
  </ds:schemaRefs>
</ds:datastoreItem>
</file>

<file path=customXml/itemProps3.xml><?xml version="1.0" encoding="utf-8"?>
<ds:datastoreItem xmlns:ds="http://schemas.openxmlformats.org/officeDocument/2006/customXml" ds:itemID="{5EAF30C1-2B97-4183-A6E5-D7D050886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add45-0cb9-4db7-b51d-66ca829989ff"/>
    <ds:schemaRef ds:uri="cb00b6c0-659f-4f1c-aba1-d233d0ce9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2928</Words>
  <Characters>1670</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dc:creator>
  <cp:keywords/>
  <cp:lastModifiedBy>Alena Kamisarova</cp:lastModifiedBy>
  <cp:revision>3</cp:revision>
  <cp:lastPrinted>1899-12-31T22:00:00Z</cp:lastPrinted>
  <dcterms:created xsi:type="dcterms:W3CDTF">2021-08-13T05:31:00Z</dcterms:created>
  <dcterms:modified xsi:type="dcterms:W3CDTF">2021-08-13T05:32:00Z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abāšanas formāts">
    <vt:lpwstr>Papīra</vt:lpwstr>
  </property>
  <property fmtid="{D5CDD505-2E9C-101B-9397-08002B2CF9AE}" pid="3" name="Glabāšanas laiks str-bā">
    <vt:lpwstr>Aktuālā versija</vt:lpwstr>
  </property>
  <property fmtid="{D5CDD505-2E9C-101B-9397-08002B2CF9AE}" pid="4" name="Jānodod arhīvā">
    <vt:lpwstr>0</vt:lpwstr>
  </property>
  <property fmtid="{D5CDD505-2E9C-101B-9397-08002B2CF9AE}" pid="5" name="Procedūras Nr:">
    <vt:lpwstr>166</vt:lpwstr>
  </property>
  <property fmtid="{D5CDD505-2E9C-101B-9397-08002B2CF9AE}" pid="6" name="Struktūrvienība">
    <vt:lpwstr>Autobusu parku ekspluatācijas daļa</vt:lpwstr>
  </property>
  <property fmtid="{D5CDD505-2E9C-101B-9397-08002B2CF9AE}" pid="7" name="Veids">
    <vt:lpwstr>Veidlapa</vt:lpwstr>
  </property>
  <property fmtid="{D5CDD505-2E9C-101B-9397-08002B2CF9AE}" pid="8" name="_dlc_DocId">
    <vt:lpwstr>JK72EMXWKVUQ-10-1010</vt:lpwstr>
  </property>
  <property fmtid="{D5CDD505-2E9C-101B-9397-08002B2CF9AE}" pid="9" name="_dlc_DocIdItemGuid">
    <vt:lpwstr>f1969169-030f-47bf-b32b-3b7e7346549f</vt:lpwstr>
  </property>
  <property fmtid="{D5CDD505-2E9C-101B-9397-08002B2CF9AE}" pid="10" name="_dlc_DocIdUrl">
    <vt:lpwstr>http://mansrs/ADR/_layouts/DocIdRedir.aspx?ID=JK72EMXWKVUQ-10-1010, JK72EMXWKVUQ-10-1010</vt:lpwstr>
  </property>
  <property fmtid="{D5CDD505-2E9C-101B-9397-08002B2CF9AE}" pid="11" name="ContentTypeId">
    <vt:lpwstr>0x010100890BA1D47ADD664DB52990C59AF52777</vt:lpwstr>
  </property>
</Properties>
</file>