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BA93" w14:textId="77777777" w:rsidR="00FB54C7" w:rsidRDefault="00FB54C7" w:rsidP="003D766B">
      <w:pPr>
        <w:ind w:right="417"/>
      </w:pPr>
    </w:p>
    <w:p w14:paraId="7C99A86F" w14:textId="2413F827" w:rsidR="00332CCF" w:rsidRDefault="003D766B" w:rsidP="003D766B">
      <w:pPr>
        <w:ind w:right="417"/>
        <w:rPr>
          <w:i/>
          <w:lang w:val="lv-LV"/>
        </w:rPr>
      </w:pPr>
      <w:r>
        <w:rPr>
          <w:i/>
          <w:lang w:val="lv-LV"/>
        </w:rPr>
        <w:t xml:space="preserve">Par atbilžu sniegšanu par iepirkuma procedūras </w:t>
      </w:r>
    </w:p>
    <w:p w14:paraId="798F43EC" w14:textId="77777777" w:rsidR="00332CCF" w:rsidRDefault="003D766B" w:rsidP="003D766B">
      <w:pPr>
        <w:ind w:right="417"/>
        <w:rPr>
          <w:i/>
          <w:lang w:val="lv-LV"/>
        </w:rPr>
      </w:pPr>
      <w:r>
        <w:rPr>
          <w:i/>
          <w:lang w:val="lv-LV"/>
        </w:rPr>
        <w:t>“Teleskopiskā iekrāvēja ar aprīkojumu piegāde un apkope” </w:t>
      </w:r>
    </w:p>
    <w:p w14:paraId="22501C3A" w14:textId="2DDFB0D2" w:rsidR="003D766B" w:rsidRDefault="003D766B" w:rsidP="003D766B">
      <w:pPr>
        <w:ind w:right="417"/>
        <w:rPr>
          <w:i/>
          <w:lang w:val="lv-LV"/>
        </w:rPr>
      </w:pPr>
      <w:r>
        <w:rPr>
          <w:i/>
          <w:lang w:val="lv-LV"/>
        </w:rPr>
        <w:t>(ID Nr. RS/2024/78) nolikuma prasībām</w:t>
      </w:r>
    </w:p>
    <w:p w14:paraId="7657927E" w14:textId="77777777" w:rsidR="003D766B" w:rsidRDefault="003D766B" w:rsidP="003D766B">
      <w:pPr>
        <w:ind w:right="417"/>
        <w:rPr>
          <w:i/>
          <w:lang w:val="lv-LV"/>
        </w:rPr>
      </w:pPr>
    </w:p>
    <w:p w14:paraId="189BD92C" w14:textId="77777777" w:rsidR="003D766B" w:rsidRDefault="003D766B" w:rsidP="003D766B">
      <w:pPr>
        <w:ind w:right="-8" w:firstLine="720"/>
        <w:jc w:val="both"/>
        <w:rPr>
          <w:lang w:val="lv-LV"/>
        </w:rPr>
      </w:pPr>
      <w:r>
        <w:rPr>
          <w:lang w:val="lv-LV"/>
        </w:rPr>
        <w:t xml:space="preserve">Rīgas pašvaldības sabiedrības ar ierobežotu atbildību „Rīgas satiksme” Iepirkuma komisija (turpmāk – Pasūtītājs) no iespējamā pakalpojuma sniedzēja ir saņēmusi vēstuli ar lūgumu sniegt skaidrojumu par iepirkuma procedūras </w:t>
      </w:r>
      <w:r>
        <w:rPr>
          <w:color w:val="000000"/>
          <w:lang w:val="lv-LV"/>
        </w:rPr>
        <w:t>“Teleskopiskā iekrāvēja ar aprīkojumu piegāde un apkope” (ID</w:t>
      </w:r>
      <w:r>
        <w:rPr>
          <w:rFonts w:eastAsiaTheme="minorHAnsi"/>
          <w:lang w:val="lv-LV"/>
        </w:rPr>
        <w:t xml:space="preserve"> Nr. RS/2024/78) </w:t>
      </w:r>
      <w:r>
        <w:rPr>
          <w:lang w:val="lv-LV"/>
        </w:rPr>
        <w:t>nolikumā (turpmāk – Nolikums) ietvertajām prasībām.</w:t>
      </w:r>
    </w:p>
    <w:p w14:paraId="2DE727F4" w14:textId="77777777" w:rsidR="003D766B" w:rsidRDefault="003D766B" w:rsidP="003D766B">
      <w:pPr>
        <w:ind w:right="-8" w:firstLine="720"/>
        <w:jc w:val="both"/>
        <w:rPr>
          <w:lang w:val="lv-LV"/>
        </w:rPr>
      </w:pPr>
    </w:p>
    <w:p w14:paraId="17F4939C" w14:textId="77777777" w:rsidR="003D766B" w:rsidRDefault="003D766B" w:rsidP="003D766B">
      <w:pPr>
        <w:ind w:right="417"/>
        <w:rPr>
          <w:b/>
          <w:bCs/>
          <w:i/>
          <w:lang w:val="lv-LV"/>
        </w:rPr>
      </w:pPr>
      <w:r>
        <w:rPr>
          <w:b/>
          <w:bCs/>
          <w:i/>
          <w:lang w:val="lv-LV"/>
        </w:rPr>
        <w:t>1. jautājums</w:t>
      </w:r>
    </w:p>
    <w:p w14:paraId="4D477AA2" w14:textId="3387F6EA" w:rsidR="00B2618A" w:rsidRPr="002E01B2" w:rsidRDefault="00755ABB" w:rsidP="00B2618A">
      <w:pPr>
        <w:jc w:val="both"/>
        <w:rPr>
          <w:i/>
          <w:iCs/>
          <w:color w:val="000000"/>
          <w:sz w:val="22"/>
          <w:szCs w:val="22"/>
          <w:lang w:val="lv-LV"/>
        </w:rPr>
      </w:pPr>
      <w:r w:rsidRPr="002E01B2">
        <w:rPr>
          <w:i/>
          <w:iCs/>
          <w:color w:val="000000"/>
          <w:lang w:val="lv-LV"/>
        </w:rPr>
        <w:t>Tehniskās specifikācijas</w:t>
      </w:r>
      <w:r w:rsidR="00B2618A" w:rsidRPr="002E01B2">
        <w:rPr>
          <w:i/>
          <w:iCs/>
          <w:color w:val="000000"/>
          <w:lang w:val="lv-LV"/>
        </w:rPr>
        <w:t xml:space="preserve"> 10.3.</w:t>
      </w:r>
      <w:r w:rsidRPr="002E01B2">
        <w:rPr>
          <w:i/>
          <w:iCs/>
          <w:color w:val="000000"/>
          <w:lang w:val="lv-LV"/>
        </w:rPr>
        <w:t xml:space="preserve"> punkts - a</w:t>
      </w:r>
      <w:r w:rsidR="00B2618A" w:rsidRPr="002E01B2">
        <w:rPr>
          <w:i/>
          <w:iCs/>
          <w:color w:val="000000"/>
          <w:lang w:val="lv-LV"/>
        </w:rPr>
        <w:t>tpakaļskata spoguļi kabīnes iekšpusē.</w:t>
      </w:r>
      <w:r w:rsidRPr="002E01B2">
        <w:rPr>
          <w:i/>
          <w:iCs/>
          <w:color w:val="000000"/>
          <w:sz w:val="22"/>
          <w:szCs w:val="22"/>
          <w:lang w:val="lv-LV"/>
        </w:rPr>
        <w:t xml:space="preserve"> </w:t>
      </w:r>
      <w:r w:rsidR="00B2618A" w:rsidRPr="002E01B2">
        <w:rPr>
          <w:i/>
          <w:iCs/>
          <w:color w:val="000000"/>
          <w:lang w:val="lv-LV"/>
        </w:rPr>
        <w:t>Lūdzu skaidrojiet nepieciešamību pēc šī papildus aprīkojuma?</w:t>
      </w:r>
      <w:r w:rsidRPr="002E01B2">
        <w:rPr>
          <w:i/>
          <w:iCs/>
          <w:color w:val="000000"/>
          <w:lang w:val="lv-LV"/>
        </w:rPr>
        <w:t xml:space="preserve"> </w:t>
      </w:r>
      <w:r w:rsidRPr="002E01B2">
        <w:rPr>
          <w:i/>
          <w:iCs/>
          <w:color w:val="000000"/>
          <w:sz w:val="22"/>
          <w:szCs w:val="22"/>
          <w:lang w:val="lv-LV"/>
        </w:rPr>
        <w:t>I</w:t>
      </w:r>
      <w:r w:rsidR="00B2618A" w:rsidRPr="002E01B2">
        <w:rPr>
          <w:i/>
          <w:iCs/>
          <w:color w:val="000000"/>
          <w:lang w:val="lv-LV"/>
        </w:rPr>
        <w:t>ekrāvējs ir aprīkots ar āra sānu spoguļiem un atpakaļ skata kameru, kura ieslēdzas automātiski, pārslēdzoties uz reversu, spoguļi kabīnes iekšpusē nesniedz pietiekamu redzamību uz aizmuguri, kā arī traucē redzamībai uz priekšu un augšu.</w:t>
      </w:r>
    </w:p>
    <w:p w14:paraId="78904CF1" w14:textId="368B2D3F" w:rsidR="002E01B2" w:rsidRDefault="00B2618A" w:rsidP="00B2618A">
      <w:pPr>
        <w:jc w:val="both"/>
        <w:rPr>
          <w:i/>
          <w:iCs/>
          <w:color w:val="000000"/>
          <w:lang w:val="lv-LV"/>
        </w:rPr>
      </w:pPr>
      <w:r w:rsidRPr="002E01B2">
        <w:rPr>
          <w:i/>
          <w:iCs/>
          <w:color w:val="000000"/>
          <w:lang w:val="lv-LV"/>
        </w:rPr>
        <w:t>Ja ir iespējams lūdzu izņemt šo punktu.</w:t>
      </w:r>
    </w:p>
    <w:p w14:paraId="56402269" w14:textId="77777777" w:rsidR="005711EE" w:rsidRPr="00744878" w:rsidRDefault="005711EE" w:rsidP="00B2618A">
      <w:pPr>
        <w:jc w:val="both"/>
        <w:rPr>
          <w:i/>
          <w:iCs/>
          <w:color w:val="000000"/>
          <w:lang w:val="lv-LV"/>
        </w:rPr>
      </w:pPr>
    </w:p>
    <w:p w14:paraId="27B4C11B" w14:textId="46E51992" w:rsidR="002E01B2" w:rsidRPr="002E01B2" w:rsidRDefault="002E01B2" w:rsidP="00B2618A">
      <w:pPr>
        <w:jc w:val="both"/>
        <w:rPr>
          <w:b/>
          <w:bCs/>
          <w:color w:val="000000"/>
          <w:lang w:val="lv-LV"/>
        </w:rPr>
      </w:pPr>
      <w:r w:rsidRPr="002E01B2">
        <w:rPr>
          <w:b/>
          <w:bCs/>
          <w:color w:val="000000"/>
          <w:lang w:val="lv-LV"/>
        </w:rPr>
        <w:t>Atbilde:</w:t>
      </w:r>
    </w:p>
    <w:p w14:paraId="609C7822" w14:textId="13A80796" w:rsidR="003250B4" w:rsidRDefault="00256347" w:rsidP="001C1098">
      <w:pPr>
        <w:rPr>
          <w:lang w:val="lv-LV"/>
        </w:rPr>
      </w:pPr>
      <w:r>
        <w:rPr>
          <w:lang w:val="lv-LV"/>
        </w:rPr>
        <w:t xml:space="preserve">Atpakaļskata spoguļi kabīnes iekšpusē </w:t>
      </w:r>
      <w:r w:rsidR="00FE4A48">
        <w:rPr>
          <w:lang w:val="lv-LV"/>
        </w:rPr>
        <w:t xml:space="preserve">nepieciešami, lai operatoram saglabātos pārskatāmība ap </w:t>
      </w:r>
      <w:r w:rsidR="003250B4">
        <w:rPr>
          <w:lang w:val="lv-LV"/>
        </w:rPr>
        <w:t xml:space="preserve">iekrāvēju bez ieslēgta reversa. </w:t>
      </w:r>
    </w:p>
    <w:p w14:paraId="6369C327" w14:textId="79BAF7E2" w:rsidR="003250B4" w:rsidRDefault="00626D76" w:rsidP="001C1098">
      <w:pPr>
        <w:rPr>
          <w:lang w:val="lv-LV"/>
        </w:rPr>
      </w:pPr>
      <w:r>
        <w:rPr>
          <w:lang w:val="lv-LV"/>
        </w:rPr>
        <w:t>Tehniskās specifikācijas 10.3. punkt</w:t>
      </w:r>
      <w:r w:rsidR="00B34C77">
        <w:rPr>
          <w:lang w:val="lv-LV"/>
        </w:rPr>
        <w:t>ā grozījumus nav plānots veikt</w:t>
      </w:r>
      <w:r>
        <w:rPr>
          <w:lang w:val="lv-LV"/>
        </w:rPr>
        <w:t xml:space="preserve">. </w:t>
      </w:r>
    </w:p>
    <w:p w14:paraId="00170F11" w14:textId="77777777" w:rsidR="00626D76" w:rsidRDefault="00626D76" w:rsidP="001C1098">
      <w:pPr>
        <w:rPr>
          <w:lang w:val="lv-LV"/>
        </w:rPr>
      </w:pPr>
    </w:p>
    <w:p w14:paraId="1195A9BC" w14:textId="6074AC70" w:rsidR="002E01B2" w:rsidRPr="005C4482" w:rsidRDefault="002E01B2" w:rsidP="001C1098">
      <w:pPr>
        <w:rPr>
          <w:b/>
          <w:bCs/>
          <w:i/>
          <w:iCs/>
          <w:lang w:val="lv-LV"/>
        </w:rPr>
      </w:pPr>
      <w:r w:rsidRPr="005C4482">
        <w:rPr>
          <w:b/>
          <w:bCs/>
          <w:i/>
          <w:iCs/>
          <w:lang w:val="lv-LV"/>
        </w:rPr>
        <w:t>2. jautājums</w:t>
      </w:r>
    </w:p>
    <w:p w14:paraId="12203FB6" w14:textId="4C014EEA" w:rsidR="00A53235" w:rsidRDefault="005C4482" w:rsidP="00A53235">
      <w:pPr>
        <w:jc w:val="both"/>
        <w:rPr>
          <w:i/>
          <w:iCs/>
          <w:color w:val="000000"/>
          <w:lang w:val="lv-LV"/>
        </w:rPr>
      </w:pPr>
      <w:r w:rsidRPr="00A53235">
        <w:rPr>
          <w:i/>
          <w:iCs/>
          <w:color w:val="000000"/>
          <w:lang w:val="lv-LV"/>
        </w:rPr>
        <w:t>Tehniskās specifikācijas 6.7. punkts - 12 v izvads uz strēles gala fiksētās daļas.</w:t>
      </w:r>
      <w:r w:rsidR="00C07254" w:rsidRPr="00A53235">
        <w:rPr>
          <w:i/>
          <w:iCs/>
          <w:color w:val="000000"/>
          <w:lang w:val="lv-LV"/>
        </w:rPr>
        <w:t xml:space="preserve"> </w:t>
      </w:r>
      <w:r w:rsidRPr="00A53235">
        <w:rPr>
          <w:i/>
          <w:iCs/>
          <w:color w:val="000000"/>
          <w:lang w:val="lv-LV"/>
        </w:rPr>
        <w:t>Vai varam lūgt skaidrojumu nepieciešamībai pēc šī papildus aprīkojuma?</w:t>
      </w:r>
      <w:r w:rsidR="00C07254" w:rsidRPr="00A53235">
        <w:rPr>
          <w:i/>
          <w:iCs/>
          <w:color w:val="000000"/>
          <w:lang w:val="lv-LV"/>
        </w:rPr>
        <w:t xml:space="preserve"> </w:t>
      </w:r>
      <w:r w:rsidRPr="00A53235">
        <w:rPr>
          <w:i/>
          <w:iCs/>
          <w:color w:val="000000"/>
          <w:lang w:val="lv-LV"/>
        </w:rPr>
        <w:t>Ja šis aprīkojums nepieciešams tikai lai vadītu personāla celšanas grozu, tad lūgums izņemt šo punktu ārā, jo katram ražotājam ir sava specifika kā nodrošināt groza vadību.</w:t>
      </w:r>
      <w:r w:rsidR="00C07254" w:rsidRPr="00A53235">
        <w:rPr>
          <w:i/>
          <w:iCs/>
          <w:color w:val="000000"/>
          <w:lang w:val="lv-LV"/>
        </w:rPr>
        <w:t xml:space="preserve"> </w:t>
      </w:r>
      <w:r w:rsidRPr="00A53235">
        <w:rPr>
          <w:i/>
          <w:iCs/>
          <w:color w:val="000000"/>
          <w:lang w:val="lv-LV"/>
        </w:rPr>
        <w:t>Ja tomēr ir paredzēts cits pielietojums, lūdzu skaidrojumu kāda tipa rozetei vajadzētu būt un vai iespējams piedāvāt 24 v izvadu?</w:t>
      </w:r>
    </w:p>
    <w:p w14:paraId="22A022CA" w14:textId="77777777" w:rsidR="005711EE" w:rsidRDefault="005711EE" w:rsidP="00A53235">
      <w:pPr>
        <w:jc w:val="both"/>
        <w:rPr>
          <w:i/>
          <w:iCs/>
          <w:color w:val="000000"/>
          <w:lang w:val="lv-LV"/>
        </w:rPr>
      </w:pPr>
    </w:p>
    <w:p w14:paraId="73E65434" w14:textId="3B4AC14D" w:rsidR="00A53235" w:rsidRPr="00A53235" w:rsidRDefault="00A53235" w:rsidP="00A53235">
      <w:pPr>
        <w:jc w:val="both"/>
        <w:rPr>
          <w:b/>
          <w:bCs/>
          <w:color w:val="000000"/>
          <w:lang w:val="lv-LV"/>
        </w:rPr>
      </w:pPr>
      <w:r w:rsidRPr="00A53235">
        <w:rPr>
          <w:b/>
          <w:bCs/>
          <w:color w:val="000000"/>
          <w:lang w:val="lv-LV"/>
        </w:rPr>
        <w:t>Atbilde:</w:t>
      </w:r>
    </w:p>
    <w:p w14:paraId="0D17D6AB" w14:textId="76A6E0A6" w:rsidR="00883AB1" w:rsidRDefault="006F3B6F" w:rsidP="006F3B6F">
      <w:pPr>
        <w:rPr>
          <w:color w:val="000000"/>
          <w:lang w:val="lv-LV"/>
        </w:rPr>
      </w:pPr>
      <w:r w:rsidRPr="00990789">
        <w:rPr>
          <w:color w:val="000000"/>
          <w:lang w:val="lv-LV"/>
        </w:rPr>
        <w:t>Tehniskās specifikācijas 6.7. punktā minētais izvads</w:t>
      </w:r>
      <w:r w:rsidR="00FA3E4E" w:rsidRPr="00990789">
        <w:rPr>
          <w:color w:val="000000"/>
          <w:lang w:val="lv-LV"/>
        </w:rPr>
        <w:t xml:space="preserve"> tiek paredzēts, ja, piemēram, uzkarei būtu nepieciešams </w:t>
      </w:r>
      <w:r w:rsidR="00A62AB3" w:rsidRPr="00990789">
        <w:rPr>
          <w:color w:val="000000"/>
          <w:lang w:val="lv-LV"/>
        </w:rPr>
        <w:t>uzstādīt papildus funkciju (piemēram, ja tā būtu sniega lāpsta</w:t>
      </w:r>
      <w:r w:rsidR="006C7C22" w:rsidRPr="00990789">
        <w:rPr>
          <w:color w:val="000000"/>
          <w:lang w:val="lv-LV"/>
        </w:rPr>
        <w:t>, lai ar elektromagnētisko slēdzi varētu pārslēgt funkcijas un n</w:t>
      </w:r>
      <w:r w:rsidR="00E900EC" w:rsidRPr="00990789">
        <w:rPr>
          <w:color w:val="000000"/>
          <w:lang w:val="lv-LV"/>
        </w:rPr>
        <w:t>ebūtu nepieciešama papildus hidraulikas līnija).</w:t>
      </w:r>
      <w:r w:rsidRPr="00990789">
        <w:rPr>
          <w:color w:val="000000"/>
          <w:lang w:val="lv-LV"/>
        </w:rPr>
        <w:t xml:space="preserve"> Voltāžu spriegums atkarīgs no tehnikas sprieguma, tātad var nodrošināt </w:t>
      </w:r>
      <w:r w:rsidR="005123A9" w:rsidRPr="00990789">
        <w:rPr>
          <w:color w:val="000000"/>
          <w:lang w:val="lv-LV"/>
        </w:rPr>
        <w:t xml:space="preserve">arī </w:t>
      </w:r>
      <w:r w:rsidRPr="00990789">
        <w:rPr>
          <w:color w:val="000000"/>
          <w:lang w:val="lv-LV"/>
        </w:rPr>
        <w:t>24</w:t>
      </w:r>
      <w:r w:rsidR="00990789" w:rsidRPr="00990789">
        <w:rPr>
          <w:color w:val="000000"/>
          <w:lang w:val="lv-LV"/>
        </w:rPr>
        <w:t xml:space="preserve"> </w:t>
      </w:r>
      <w:r w:rsidRPr="00990789">
        <w:rPr>
          <w:color w:val="000000"/>
          <w:lang w:val="lv-LV"/>
        </w:rPr>
        <w:t>v</w:t>
      </w:r>
      <w:r w:rsidR="00990789" w:rsidRPr="00990789">
        <w:rPr>
          <w:color w:val="000000"/>
          <w:lang w:val="lv-LV"/>
        </w:rPr>
        <w:t xml:space="preserve"> izvadu</w:t>
      </w:r>
      <w:r w:rsidRPr="00990789">
        <w:rPr>
          <w:color w:val="000000"/>
          <w:lang w:val="lv-LV"/>
        </w:rPr>
        <w:t>.</w:t>
      </w:r>
    </w:p>
    <w:p w14:paraId="226B494A" w14:textId="149F605B" w:rsidR="00D61B90" w:rsidRDefault="00D61B90" w:rsidP="00D61B90">
      <w:pPr>
        <w:jc w:val="both"/>
        <w:rPr>
          <w:lang w:val="lv-LV"/>
        </w:rPr>
      </w:pPr>
      <w:r w:rsidRPr="00747173">
        <w:rPr>
          <w:rFonts w:eastAsiaTheme="minorHAnsi"/>
          <w:iCs/>
          <w:lang w:val="lv-LV"/>
        </w:rPr>
        <w:t xml:space="preserve">Informējam, </w:t>
      </w:r>
      <w:r>
        <w:rPr>
          <w:rFonts w:eastAsiaTheme="minorHAnsi"/>
          <w:iCs/>
          <w:lang w:val="lv-LV"/>
        </w:rPr>
        <w:t xml:space="preserve">ka </w:t>
      </w:r>
      <w:r w:rsidRPr="00747173">
        <w:rPr>
          <w:lang w:val="lv-LV"/>
        </w:rPr>
        <w:t>nolikum</w:t>
      </w:r>
      <w:r w:rsidR="00E04CE4">
        <w:rPr>
          <w:lang w:val="lv-LV"/>
        </w:rPr>
        <w:t>a Tehn</w:t>
      </w:r>
      <w:r w:rsidR="005123A9">
        <w:rPr>
          <w:lang w:val="lv-LV"/>
        </w:rPr>
        <w:t>i</w:t>
      </w:r>
      <w:r w:rsidR="00E04CE4">
        <w:rPr>
          <w:lang w:val="lv-LV"/>
        </w:rPr>
        <w:t xml:space="preserve">skās specifikācijas </w:t>
      </w:r>
      <w:r w:rsidR="00715D30">
        <w:rPr>
          <w:lang w:val="lv-LV"/>
        </w:rPr>
        <w:t xml:space="preserve">6.7. punktā </w:t>
      </w:r>
      <w:r w:rsidR="00E04CE4">
        <w:rPr>
          <w:lang w:val="lv-LV"/>
        </w:rPr>
        <w:t>tiks</w:t>
      </w:r>
      <w:r w:rsidRPr="00747173">
        <w:rPr>
          <w:lang w:val="lv-LV"/>
        </w:rPr>
        <w:t xml:space="preserve"> veikti </w:t>
      </w:r>
      <w:r w:rsidR="00715D30">
        <w:rPr>
          <w:lang w:val="lv-LV"/>
        </w:rPr>
        <w:t xml:space="preserve">precizējumi. </w:t>
      </w:r>
      <w:r w:rsidR="00C428FF">
        <w:rPr>
          <w:lang w:val="lv-LV"/>
        </w:rPr>
        <w:t>Grozījumi tiks publicēti</w:t>
      </w:r>
      <w:r w:rsidRPr="00747173">
        <w:rPr>
          <w:lang w:val="lv-LV"/>
        </w:rPr>
        <w:t xml:space="preserve"> </w:t>
      </w:r>
      <w:hyperlink r:id="rId12" w:history="1">
        <w:r w:rsidRPr="00747173">
          <w:rPr>
            <w:u w:val="single"/>
            <w:lang w:val="lv-LV"/>
          </w:rPr>
          <w:t>www.eis.gov.lv</w:t>
        </w:r>
      </w:hyperlink>
      <w:r w:rsidRPr="00747173">
        <w:rPr>
          <w:lang w:val="lv-LV"/>
        </w:rPr>
        <w:t xml:space="preserve"> un </w:t>
      </w:r>
      <w:hyperlink r:id="rId13" w:history="1">
        <w:r w:rsidRPr="00747173">
          <w:rPr>
            <w:u w:val="single"/>
            <w:lang w:val="lv-LV"/>
          </w:rPr>
          <w:t>www.rigassatiksme.lv</w:t>
        </w:r>
      </w:hyperlink>
      <w:r w:rsidRPr="00747173">
        <w:rPr>
          <w:lang w:val="lv-LV"/>
        </w:rPr>
        <w:t xml:space="preserve"> .</w:t>
      </w:r>
    </w:p>
    <w:p w14:paraId="4FA36D83" w14:textId="0EDBD446" w:rsidR="00883AB1" w:rsidRDefault="00883AB1" w:rsidP="006F3B6F">
      <w:pPr>
        <w:rPr>
          <w:color w:val="000000"/>
          <w:lang w:val="lv-LV"/>
        </w:rPr>
      </w:pPr>
    </w:p>
    <w:p w14:paraId="3FA09C80" w14:textId="4EB95B0A" w:rsidR="00744878" w:rsidRPr="00C4199D" w:rsidRDefault="00744878" w:rsidP="00744878">
      <w:pPr>
        <w:ind w:right="372"/>
        <w:jc w:val="both"/>
        <w:outlineLvl w:val="0"/>
        <w:rPr>
          <w:lang w:val="lv-LV"/>
        </w:rPr>
      </w:pPr>
      <w:r w:rsidRPr="00C4199D">
        <w:rPr>
          <w:lang w:val="lv-LV"/>
        </w:rPr>
        <w:t>Iepirkumu komisijas priekšsēdētāja                                                                     Karīna Meiberga</w:t>
      </w:r>
    </w:p>
    <w:p w14:paraId="0FA09FBD" w14:textId="77777777" w:rsidR="00744878" w:rsidRPr="00C4199D" w:rsidRDefault="00744878" w:rsidP="00744878">
      <w:pPr>
        <w:rPr>
          <w:lang w:val="lv-LV"/>
        </w:rPr>
      </w:pPr>
    </w:p>
    <w:p w14:paraId="201CC2D8" w14:textId="77777777" w:rsidR="00744878" w:rsidRPr="00C4199D" w:rsidRDefault="00744878" w:rsidP="00744878">
      <w:pPr>
        <w:rPr>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5711EE">
      <w:headerReference w:type="even" r:id="rId14"/>
      <w:headerReference w:type="default" r:id="rId15"/>
      <w:footerReference w:type="default" r:id="rId16"/>
      <w:headerReference w:type="first" r:id="rId17"/>
      <w:footerReference w:type="first" r:id="rId18"/>
      <w:pgSz w:w="11900" w:h="16840" w:code="9"/>
      <w:pgMar w:top="1134" w:right="851" w:bottom="567"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965E" w14:textId="77777777" w:rsidR="00237F92" w:rsidRDefault="00237F92">
      <w:r>
        <w:separator/>
      </w:r>
    </w:p>
  </w:endnote>
  <w:endnote w:type="continuationSeparator" w:id="0">
    <w:p w14:paraId="28A5A777" w14:textId="77777777" w:rsidR="00237F92" w:rsidRDefault="0023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1953378042"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936A" w14:textId="77777777" w:rsidR="00237F92" w:rsidRDefault="00237F92">
      <w:r>
        <w:separator/>
      </w:r>
    </w:p>
  </w:footnote>
  <w:footnote w:type="continuationSeparator" w:id="0">
    <w:p w14:paraId="577C9DB6" w14:textId="77777777" w:rsidR="00237F92" w:rsidRDefault="0023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34A21B17">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1763011569" name="Picture 176301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62C1F498" w:rsidR="00BA1D4B" w:rsidRDefault="00BA1D4B" w:rsidP="00BA1D4B">
    <w:pPr>
      <w:pStyle w:val="Header"/>
      <w:tabs>
        <w:tab w:val="left" w:pos="426"/>
        <w:tab w:val="left" w:pos="1418"/>
      </w:tabs>
      <w:jc w:val="both"/>
    </w:pPr>
    <w:r>
      <w:t>13.12.2024</w:t>
    </w:r>
    <w:r w:rsidR="00FB54C7">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2042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83E27"/>
    <w:rsid w:val="001278A3"/>
    <w:rsid w:val="00137F93"/>
    <w:rsid w:val="00176AEB"/>
    <w:rsid w:val="001B000D"/>
    <w:rsid w:val="001C1098"/>
    <w:rsid w:val="001D43D0"/>
    <w:rsid w:val="00233FCE"/>
    <w:rsid w:val="00237F92"/>
    <w:rsid w:val="00256347"/>
    <w:rsid w:val="002E01B2"/>
    <w:rsid w:val="002E0214"/>
    <w:rsid w:val="002E786C"/>
    <w:rsid w:val="003250B4"/>
    <w:rsid w:val="00325A6F"/>
    <w:rsid w:val="00332CCF"/>
    <w:rsid w:val="00384C24"/>
    <w:rsid w:val="003877B2"/>
    <w:rsid w:val="00392702"/>
    <w:rsid w:val="003928D3"/>
    <w:rsid w:val="003A76FA"/>
    <w:rsid w:val="003C2FBA"/>
    <w:rsid w:val="003D766B"/>
    <w:rsid w:val="004124BC"/>
    <w:rsid w:val="00446224"/>
    <w:rsid w:val="00454D63"/>
    <w:rsid w:val="00495061"/>
    <w:rsid w:val="004A0D6C"/>
    <w:rsid w:val="004C2F01"/>
    <w:rsid w:val="004C4EA1"/>
    <w:rsid w:val="004F581B"/>
    <w:rsid w:val="005123A9"/>
    <w:rsid w:val="0054525F"/>
    <w:rsid w:val="005711EE"/>
    <w:rsid w:val="005A6CC9"/>
    <w:rsid w:val="005C4482"/>
    <w:rsid w:val="005D1BBE"/>
    <w:rsid w:val="005D3F37"/>
    <w:rsid w:val="00611305"/>
    <w:rsid w:val="00626D76"/>
    <w:rsid w:val="006339F1"/>
    <w:rsid w:val="00681D93"/>
    <w:rsid w:val="006874A7"/>
    <w:rsid w:val="00697421"/>
    <w:rsid w:val="006A672C"/>
    <w:rsid w:val="006C7C22"/>
    <w:rsid w:val="006F3B6F"/>
    <w:rsid w:val="00712459"/>
    <w:rsid w:val="00715D30"/>
    <w:rsid w:val="00744878"/>
    <w:rsid w:val="00755ABB"/>
    <w:rsid w:val="00756CAE"/>
    <w:rsid w:val="007857EA"/>
    <w:rsid w:val="007875D1"/>
    <w:rsid w:val="007A34BE"/>
    <w:rsid w:val="007D62F7"/>
    <w:rsid w:val="008034ED"/>
    <w:rsid w:val="00832355"/>
    <w:rsid w:val="008533C8"/>
    <w:rsid w:val="00883AB1"/>
    <w:rsid w:val="008E3092"/>
    <w:rsid w:val="008E4C93"/>
    <w:rsid w:val="00901C98"/>
    <w:rsid w:val="00904B48"/>
    <w:rsid w:val="009134FF"/>
    <w:rsid w:val="00917650"/>
    <w:rsid w:val="00931737"/>
    <w:rsid w:val="00990789"/>
    <w:rsid w:val="00A075D3"/>
    <w:rsid w:val="00A3285A"/>
    <w:rsid w:val="00A52673"/>
    <w:rsid w:val="00A53235"/>
    <w:rsid w:val="00A55640"/>
    <w:rsid w:val="00A62AB3"/>
    <w:rsid w:val="00A90154"/>
    <w:rsid w:val="00AA0E4F"/>
    <w:rsid w:val="00AB152E"/>
    <w:rsid w:val="00AD6E80"/>
    <w:rsid w:val="00B17037"/>
    <w:rsid w:val="00B2618A"/>
    <w:rsid w:val="00B34C77"/>
    <w:rsid w:val="00B67B48"/>
    <w:rsid w:val="00B75385"/>
    <w:rsid w:val="00BA1D4B"/>
    <w:rsid w:val="00BE1365"/>
    <w:rsid w:val="00C07254"/>
    <w:rsid w:val="00C2117D"/>
    <w:rsid w:val="00C428FF"/>
    <w:rsid w:val="00C84969"/>
    <w:rsid w:val="00C950CD"/>
    <w:rsid w:val="00C96B4F"/>
    <w:rsid w:val="00CA73ED"/>
    <w:rsid w:val="00D422E8"/>
    <w:rsid w:val="00D43D83"/>
    <w:rsid w:val="00D61B90"/>
    <w:rsid w:val="00D81F1C"/>
    <w:rsid w:val="00D86507"/>
    <w:rsid w:val="00DA0C26"/>
    <w:rsid w:val="00DC6352"/>
    <w:rsid w:val="00E04CE4"/>
    <w:rsid w:val="00E3203C"/>
    <w:rsid w:val="00E900EC"/>
    <w:rsid w:val="00EB089E"/>
    <w:rsid w:val="00EE2EB4"/>
    <w:rsid w:val="00EF3136"/>
    <w:rsid w:val="00F01C15"/>
    <w:rsid w:val="00F213A8"/>
    <w:rsid w:val="00F2359A"/>
    <w:rsid w:val="00F527AA"/>
    <w:rsid w:val="00F631D4"/>
    <w:rsid w:val="00F83C9D"/>
    <w:rsid w:val="00F84DED"/>
    <w:rsid w:val="00FA3E4E"/>
    <w:rsid w:val="00FB54C7"/>
    <w:rsid w:val="00FE0013"/>
    <w:rsid w:val="00FE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iPriority w:val="99"/>
    <w:unhideWhenUsed/>
    <w:locked/>
    <w:rsid w:val="003D76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64430">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612200115">
      <w:bodyDiv w:val="1"/>
      <w:marLeft w:val="0"/>
      <w:marRight w:val="0"/>
      <w:marTop w:val="0"/>
      <w:marBottom w:val="0"/>
      <w:divBdr>
        <w:top w:val="none" w:sz="0" w:space="0" w:color="auto"/>
        <w:left w:val="none" w:sz="0" w:space="0" w:color="auto"/>
        <w:bottom w:val="none" w:sz="0" w:space="0" w:color="auto"/>
        <w:right w:val="none" w:sz="0" w:space="0" w:color="auto"/>
      </w:divBdr>
    </w:div>
    <w:div w:id="1612585479">
      <w:bodyDiv w:val="1"/>
      <w:marLeft w:val="0"/>
      <w:marRight w:val="0"/>
      <w:marTop w:val="0"/>
      <w:marBottom w:val="0"/>
      <w:divBdr>
        <w:top w:val="none" w:sz="0" w:space="0" w:color="auto"/>
        <w:left w:val="none" w:sz="0" w:space="0" w:color="auto"/>
        <w:bottom w:val="none" w:sz="0" w:space="0" w:color="auto"/>
        <w:right w:val="none" w:sz="0" w:space="0" w:color="auto"/>
      </w:divBdr>
    </w:div>
    <w:div w:id="180623992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356D5-4F7E-4793-9C48-B4A6AE3FE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2062</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3</cp:revision>
  <cp:lastPrinted>2021-09-09T02:05:00Z</cp:lastPrinted>
  <dcterms:created xsi:type="dcterms:W3CDTF">2024-12-13T09:07:00Z</dcterms:created>
  <dcterms:modified xsi:type="dcterms:W3CDTF">2024-12-13T09:07:00Z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