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6840" w14:textId="5ABE0CD7" w:rsidR="00C0718F" w:rsidRPr="00E44346" w:rsidRDefault="00C77EE3" w:rsidP="00E44346">
      <w:pPr>
        <w:spacing w:after="0" w:line="240" w:lineRule="auto"/>
        <w:ind w:right="-425"/>
        <w:jc w:val="right"/>
        <w:rPr>
          <w:rFonts w:ascii="Times New Roman" w:hAnsi="Times New Roman" w:cs="Times New Roman"/>
          <w:sz w:val="18"/>
          <w:szCs w:val="18"/>
        </w:rPr>
      </w:pPr>
      <w:r w:rsidRPr="00E44346">
        <w:rPr>
          <w:rFonts w:ascii="Times New Roman" w:hAnsi="Times New Roman" w:cs="Times New Roman"/>
          <w:sz w:val="18"/>
          <w:szCs w:val="18"/>
        </w:rPr>
        <w:t>1.pielikums</w:t>
      </w:r>
    </w:p>
    <w:p w14:paraId="201163EA" w14:textId="2EA5E1C8" w:rsidR="00D21083" w:rsidRPr="00E44346" w:rsidRDefault="00E44346" w:rsidP="00E44346">
      <w:pPr>
        <w:spacing w:after="0" w:line="240" w:lineRule="auto"/>
        <w:ind w:right="-425"/>
        <w:jc w:val="right"/>
        <w:rPr>
          <w:rFonts w:ascii="Times New Roman" w:hAnsi="Times New Roman" w:cs="Times New Roman"/>
          <w:sz w:val="16"/>
          <w:szCs w:val="16"/>
        </w:rPr>
      </w:pPr>
      <w:r w:rsidRPr="00E44346">
        <w:rPr>
          <w:rFonts w:ascii="Times New Roman" w:hAnsi="Times New Roman" w:cs="Times New Roman"/>
          <w:sz w:val="16"/>
          <w:szCs w:val="16"/>
        </w:rPr>
        <w:t>[</w:t>
      </w:r>
      <w:r w:rsidR="00D21083" w:rsidRPr="00E44346">
        <w:rPr>
          <w:rFonts w:ascii="Times New Roman" w:hAnsi="Times New Roman" w:cs="Times New Roman"/>
          <w:sz w:val="16"/>
          <w:szCs w:val="16"/>
        </w:rPr>
        <w:t>Aktualizēta 1</w:t>
      </w:r>
      <w:r w:rsidR="00251DE3">
        <w:rPr>
          <w:rFonts w:ascii="Times New Roman" w:hAnsi="Times New Roman" w:cs="Times New Roman"/>
          <w:sz w:val="16"/>
          <w:szCs w:val="16"/>
        </w:rPr>
        <w:t>5</w:t>
      </w:r>
      <w:r w:rsidR="00D21083" w:rsidRPr="00E44346">
        <w:rPr>
          <w:rFonts w:ascii="Times New Roman" w:hAnsi="Times New Roman" w:cs="Times New Roman"/>
          <w:sz w:val="16"/>
          <w:szCs w:val="16"/>
        </w:rPr>
        <w:t>.04.2025.</w:t>
      </w:r>
      <w:r w:rsidRPr="00E44346">
        <w:rPr>
          <w:rFonts w:ascii="Times New Roman" w:hAnsi="Times New Roman" w:cs="Times New Roman"/>
          <w:sz w:val="16"/>
          <w:szCs w:val="16"/>
        </w:rPr>
        <w:t>]</w:t>
      </w:r>
    </w:p>
    <w:p w14:paraId="4AF84AD1" w14:textId="18BF1B98" w:rsidR="00BC0CB2" w:rsidRPr="00590A56" w:rsidRDefault="00866B1E" w:rsidP="00853CE3">
      <w:pPr>
        <w:spacing w:after="0"/>
        <w:ind w:right="-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A56">
        <w:rPr>
          <w:rFonts w:ascii="Times New Roman" w:hAnsi="Times New Roman" w:cs="Times New Roman"/>
          <w:b/>
          <w:bCs/>
          <w:sz w:val="24"/>
          <w:szCs w:val="24"/>
        </w:rPr>
        <w:t>Darba uzdevums</w:t>
      </w:r>
      <w:r w:rsidR="00A86003" w:rsidRPr="00590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77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813AEB" w14:textId="2ED14D54" w:rsidR="00C0718F" w:rsidRPr="00C95B14" w:rsidRDefault="009F407C" w:rsidP="002A05A7">
      <w:pPr>
        <w:ind w:right="-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95B14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RP SIA “Rīgas satiksme</w:t>
      </w:r>
      <w:r w:rsidR="00DC04CD" w:rsidRPr="00C95B14">
        <w:rPr>
          <w:rStyle w:val="normaltextrun"/>
          <w:rFonts w:ascii="Times New Roman" w:hAnsi="Times New Roman" w:cs="Times New Roman"/>
          <w:i/>
          <w:iCs/>
          <w:sz w:val="24"/>
          <w:szCs w:val="24"/>
        </w:rPr>
        <w:t>”</w:t>
      </w:r>
      <w:r w:rsidR="00DC04CD" w:rsidRPr="00C95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627F" w:rsidRPr="00C95B14">
        <w:rPr>
          <w:rFonts w:ascii="Times New Roman" w:hAnsi="Times New Roman" w:cs="Times New Roman"/>
          <w:i/>
          <w:iCs/>
          <w:sz w:val="24"/>
          <w:szCs w:val="24"/>
        </w:rPr>
        <w:t>debitoru p</w:t>
      </w:r>
      <w:r w:rsidR="00DC04CD" w:rsidRPr="00C95B14">
        <w:rPr>
          <w:rFonts w:ascii="Times New Roman" w:hAnsi="Times New Roman" w:cs="Times New Roman"/>
          <w:i/>
          <w:iCs/>
          <w:sz w:val="24"/>
          <w:szCs w:val="24"/>
        </w:rPr>
        <w:t>arādu piedziņas pakalpojumu sniegšana</w:t>
      </w:r>
      <w:r w:rsidR="00B9446A" w:rsidRPr="00C95B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F954C0B" w14:textId="1143305E" w:rsidR="00866B1E" w:rsidRPr="00C0718F" w:rsidRDefault="00866B1E" w:rsidP="002A05A7">
      <w:pPr>
        <w:pStyle w:val="ListParagraph"/>
        <w:numPr>
          <w:ilvl w:val="0"/>
          <w:numId w:val="1"/>
        </w:numPr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718F">
        <w:rPr>
          <w:rFonts w:ascii="Times New Roman" w:hAnsi="Times New Roman" w:cs="Times New Roman"/>
          <w:sz w:val="24"/>
          <w:szCs w:val="24"/>
          <w:u w:val="single"/>
        </w:rPr>
        <w:t>Pamatojums</w:t>
      </w:r>
      <w:r w:rsidR="00D8681C" w:rsidRPr="00C0718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0A98E63" w14:textId="06757C6D" w:rsidR="0077106F" w:rsidRPr="00C0718F" w:rsidRDefault="00BB4411" w:rsidP="002A05A7">
      <w:pPr>
        <w:ind w:left="426" w:right="-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106F">
        <w:rPr>
          <w:rFonts w:ascii="Times New Roman" w:hAnsi="Times New Roman" w:cs="Times New Roman"/>
          <w:sz w:val="24"/>
          <w:szCs w:val="24"/>
        </w:rPr>
        <w:t xml:space="preserve">Rīgas valstspilsētas pašvaldības kapitālsabiedrība SIA “Rīgas satiksme” (turpmāk – </w:t>
      </w:r>
      <w:r w:rsidR="00CE3B34">
        <w:rPr>
          <w:rFonts w:ascii="Times New Roman" w:hAnsi="Times New Roman" w:cs="Times New Roman"/>
          <w:sz w:val="24"/>
          <w:szCs w:val="24"/>
        </w:rPr>
        <w:t>Pasūtītājs</w:t>
      </w:r>
      <w:r w:rsidRPr="0077106F">
        <w:rPr>
          <w:rFonts w:ascii="Times New Roman" w:hAnsi="Times New Roman" w:cs="Times New Roman"/>
          <w:sz w:val="24"/>
          <w:szCs w:val="24"/>
        </w:rPr>
        <w:t>) pamatojoties uz 2023. gada 4. augustā noslēgtu pārvaldes uzdevuma deleģēšanas līgumu Nr. LIG/2023/353 ar Rīgas valstspilsētas pašvaldību, nodrošina no Pašvaldību likuma 4. panta pirmās daļas 3. punkta izrietošo uzdevumu. Šis uzdevums ir noteikts atbilstoši likuma “Par autoceļiem” 6. panta 4.</w:t>
      </w:r>
      <w:r w:rsidRPr="004616C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7106F">
        <w:rPr>
          <w:rFonts w:ascii="Times New Roman" w:hAnsi="Times New Roman" w:cs="Times New Roman"/>
          <w:sz w:val="24"/>
          <w:szCs w:val="24"/>
        </w:rPr>
        <w:t xml:space="preserve"> daļai un ietver pašvaldības maksas autostāvvietu, kas atrodas ielu sarkano līniju robežās, apsaimniekošanu, ierīkošanu, pārvaldīšanu un maksas autostāvvietu lietošanas noteikumu ievērošanas kontroli</w:t>
      </w:r>
      <w:r w:rsidR="004D3E90" w:rsidRPr="00C0718F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C828796" w14:textId="6791D529" w:rsidR="004B053A" w:rsidRPr="0056617D" w:rsidRDefault="00197D6F" w:rsidP="002A05A7">
      <w:pPr>
        <w:pStyle w:val="ListParagraph"/>
        <w:numPr>
          <w:ilvl w:val="0"/>
          <w:numId w:val="1"/>
        </w:num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B4411">
        <w:rPr>
          <w:rFonts w:ascii="Times New Roman" w:hAnsi="Times New Roman" w:cs="Times New Roman"/>
          <w:sz w:val="24"/>
          <w:szCs w:val="24"/>
          <w:u w:val="single"/>
        </w:rPr>
        <w:t>Darbu izpildes apraksts</w:t>
      </w:r>
      <w:r w:rsidRPr="00C0718F">
        <w:rPr>
          <w:rFonts w:ascii="Times New Roman" w:hAnsi="Times New Roman" w:cs="Times New Roman"/>
          <w:sz w:val="24"/>
          <w:szCs w:val="24"/>
        </w:rPr>
        <w:t>:</w:t>
      </w:r>
    </w:p>
    <w:p w14:paraId="7457BA94" w14:textId="1F751E5A" w:rsidR="004B053A" w:rsidRPr="0060202C" w:rsidRDefault="004B053A" w:rsidP="00853CE3">
      <w:pPr>
        <w:pStyle w:val="ListParagraph"/>
        <w:ind w:left="360" w:right="-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053A">
        <w:rPr>
          <w:rFonts w:ascii="Times New Roman" w:hAnsi="Times New Roman" w:cs="Times New Roman"/>
          <w:iCs/>
          <w:sz w:val="24"/>
          <w:szCs w:val="24"/>
        </w:rPr>
        <w:t xml:space="preserve">Līguma izpildes procesā ir izveidojušies debitoru, Baltijas valstīs reģistrētu automašīnu īpašnieku parādi par nesamaksātajiem pēcapmaksas paziņojumiem par autostāvvietu </w:t>
      </w:r>
      <w:r w:rsidR="00472839">
        <w:rPr>
          <w:rFonts w:ascii="Times New Roman" w:hAnsi="Times New Roman" w:cs="Times New Roman"/>
          <w:iCs/>
          <w:sz w:val="24"/>
          <w:szCs w:val="24"/>
        </w:rPr>
        <w:t>Pasūtītāja</w:t>
      </w:r>
      <w:r w:rsidRPr="004B053A">
        <w:rPr>
          <w:rFonts w:ascii="Times New Roman" w:hAnsi="Times New Roman" w:cs="Times New Roman"/>
          <w:iCs/>
          <w:sz w:val="24"/>
          <w:szCs w:val="24"/>
        </w:rPr>
        <w:t xml:space="preserve"> apkalpojamās </w:t>
      </w:r>
      <w:r w:rsidRPr="0060202C">
        <w:rPr>
          <w:rFonts w:ascii="Times New Roman" w:hAnsi="Times New Roman" w:cs="Times New Roman"/>
          <w:iCs/>
          <w:sz w:val="24"/>
          <w:szCs w:val="24"/>
        </w:rPr>
        <w:t>autostāvvietās lietošanu periodā no 01.07.2022. līdz 31.12.2022. Šo parādu atgūšanai ir paredzēts izvēlēties licencētu ārējo pakalpojumu sniedzēju, kurš specializējas parādu piedziņā un kuram ir atbilstoši resursi un kompetence efektīvai darbībai.</w:t>
      </w:r>
    </w:p>
    <w:p w14:paraId="496DA882" w14:textId="77777777" w:rsidR="003850D2" w:rsidRPr="0060202C" w:rsidRDefault="003850D2" w:rsidP="00853CE3">
      <w:pPr>
        <w:pStyle w:val="ListParagraph"/>
        <w:ind w:left="360" w:right="-426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863674C" w14:textId="642AFD78" w:rsidR="008340E0" w:rsidRPr="0060202C" w:rsidRDefault="008340E0" w:rsidP="003850D2">
      <w:pPr>
        <w:pStyle w:val="ListParagraph"/>
        <w:numPr>
          <w:ilvl w:val="0"/>
          <w:numId w:val="1"/>
        </w:numPr>
        <w:spacing w:before="120" w:after="0"/>
        <w:ind w:left="357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60202C">
        <w:rPr>
          <w:rFonts w:ascii="Times New Roman" w:hAnsi="Times New Roman" w:cs="Times New Roman"/>
          <w:sz w:val="24"/>
          <w:szCs w:val="24"/>
          <w:u w:val="single"/>
        </w:rPr>
        <w:t>Informācija</w:t>
      </w:r>
      <w:r w:rsidR="00D47C4B" w:rsidRPr="006020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47C4B" w:rsidRPr="0060202C">
        <w:rPr>
          <w:rFonts w:ascii="Times New Roman" w:hAnsi="Times New Roman" w:cs="Times New Roman"/>
          <w:sz w:val="24"/>
          <w:szCs w:val="24"/>
          <w:u w:val="single"/>
        </w:rPr>
        <w:t>uz 15.03.2025., kas var būt noderīga piedāvājuma iesniegšanai</w:t>
      </w:r>
      <w:r w:rsidRPr="0060202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97ECC50" w14:textId="77777777" w:rsidR="004B2027" w:rsidRPr="0060202C" w:rsidRDefault="004B2027" w:rsidP="004B202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02C">
        <w:rPr>
          <w:rFonts w:ascii="Times New Roman" w:eastAsia="Times New Roman" w:hAnsi="Times New Roman" w:cs="Times New Roman"/>
          <w:sz w:val="24"/>
          <w:szCs w:val="24"/>
        </w:rPr>
        <w:t>Parādu statistika, provizoriska (indikatīva):</w:t>
      </w:r>
    </w:p>
    <w:tbl>
      <w:tblPr>
        <w:tblW w:w="8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1559"/>
        <w:gridCol w:w="1276"/>
        <w:gridCol w:w="1701"/>
      </w:tblGrid>
      <w:tr w:rsidR="004B2027" w:rsidRPr="0060202C" w14:paraId="1162C326" w14:textId="77777777" w:rsidTr="003A73EB">
        <w:trPr>
          <w:trHeight w:val="315"/>
        </w:trPr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14:paraId="3070E185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Periods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  <w:hideMark/>
          </w:tcPr>
          <w:p w14:paraId="75887797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Baltijas valstis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14:paraId="0F60D89D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Citi</w:t>
            </w:r>
          </w:p>
        </w:tc>
      </w:tr>
      <w:tr w:rsidR="004B2027" w:rsidRPr="0060202C" w14:paraId="6D8E8953" w14:textId="77777777" w:rsidTr="003A73EB">
        <w:trPr>
          <w:trHeight w:val="315"/>
        </w:trPr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14:paraId="14E5408E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A4075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B79D2C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Summa, EUR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158491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8B7183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Summa, EUR</w:t>
            </w:r>
          </w:p>
        </w:tc>
      </w:tr>
      <w:tr w:rsidR="004B2027" w:rsidRPr="0060202C" w14:paraId="08F86B95" w14:textId="77777777" w:rsidTr="003A73EB">
        <w:trPr>
          <w:trHeight w:val="315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373416" w14:textId="77777777" w:rsidR="004B2027" w:rsidRPr="0060202C" w:rsidRDefault="004B2027" w:rsidP="003A73E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1.07.2022. -31.12.2022.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D5D815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3322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CF57ED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71 427,00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6CDEB7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1662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A8CE21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42 472,00</w:t>
            </w:r>
          </w:p>
        </w:tc>
      </w:tr>
    </w:tbl>
    <w:p w14:paraId="3D43F152" w14:textId="77777777" w:rsidR="004B2027" w:rsidRPr="0060202C" w:rsidRDefault="004B2027" w:rsidP="004B202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0202C">
        <w:rPr>
          <w:rFonts w:ascii="Times New Roman" w:hAnsi="Times New Roman" w:cs="Times New Roman"/>
          <w:sz w:val="24"/>
          <w:szCs w:val="24"/>
        </w:rPr>
        <w:t>Baltijas valstu sadalījums: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51"/>
        <w:gridCol w:w="1559"/>
        <w:gridCol w:w="850"/>
        <w:gridCol w:w="1560"/>
        <w:gridCol w:w="850"/>
        <w:gridCol w:w="1559"/>
      </w:tblGrid>
      <w:tr w:rsidR="004B2027" w:rsidRPr="0060202C" w14:paraId="65F0D378" w14:textId="77777777" w:rsidTr="003A73EB">
        <w:trPr>
          <w:trHeight w:val="315"/>
        </w:trPr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14:paraId="728DA77C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Periods</w:t>
            </w:r>
          </w:p>
          <w:p w14:paraId="3F5F31F0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14:paraId="420BA1A0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Latvija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14:paraId="53443E02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Lietuva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14:paraId="7C0BA61E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Igaunija</w:t>
            </w:r>
          </w:p>
        </w:tc>
      </w:tr>
      <w:tr w:rsidR="004B2027" w:rsidRPr="0060202C" w14:paraId="426BFEAB" w14:textId="77777777" w:rsidTr="003A73EB">
        <w:trPr>
          <w:trHeight w:val="315"/>
        </w:trPr>
        <w:tc>
          <w:tcPr>
            <w:tcW w:w="2410" w:type="dxa"/>
            <w:vMerge/>
            <w:shd w:val="clear" w:color="auto" w:fill="auto"/>
            <w:noWrap/>
            <w:vAlign w:val="center"/>
            <w:hideMark/>
          </w:tcPr>
          <w:p w14:paraId="62ED851F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18F0FE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E22E58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Summa, EUR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18B94B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892520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Summa, EUR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61FCE9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307101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Summa, EUR</w:t>
            </w:r>
          </w:p>
        </w:tc>
      </w:tr>
      <w:tr w:rsidR="004B2027" w:rsidRPr="0060202C" w14:paraId="4BD0CD80" w14:textId="77777777" w:rsidTr="003A73EB">
        <w:trPr>
          <w:trHeight w:val="315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15AEA7" w14:textId="77777777" w:rsidR="004B2027" w:rsidRPr="0060202C" w:rsidRDefault="004B2027" w:rsidP="003A73EB">
            <w:pPr>
              <w:spacing w:after="0"/>
              <w:ind w:right="-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1.07.2022. - 31.12.2022.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DA0FEB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2360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A15647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43 547,00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77CC90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552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4EFAA4D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16 296,00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64F45B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FF4397" w14:textId="77777777" w:rsidR="004B2027" w:rsidRPr="0060202C" w:rsidRDefault="004B2027" w:rsidP="003A73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202C">
              <w:rPr>
                <w:rFonts w:ascii="Times New Roman" w:hAnsi="Times New Roman" w:cs="Times New Roman"/>
                <w:color w:val="000000"/>
              </w:rPr>
              <w:t>11 584,00</w:t>
            </w:r>
          </w:p>
        </w:tc>
      </w:tr>
    </w:tbl>
    <w:p w14:paraId="24687295" w14:textId="77777777" w:rsidR="004B2027" w:rsidRPr="0060202C" w:rsidRDefault="004B2027" w:rsidP="004B202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02C">
        <w:rPr>
          <w:rFonts w:ascii="Times New Roman" w:eastAsia="Times New Roman" w:hAnsi="Times New Roman" w:cs="Times New Roman"/>
          <w:sz w:val="24"/>
          <w:szCs w:val="24"/>
        </w:rPr>
        <w:t>Baltijas valstu debitoru (01.07.2022. – 31.12.2022.) sadalījums pa summām:</w:t>
      </w:r>
    </w:p>
    <w:tbl>
      <w:tblPr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</w:tblGrid>
      <w:tr w:rsidR="004B2027" w:rsidRPr="0060202C" w14:paraId="563F025A" w14:textId="77777777" w:rsidTr="003A73EB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60071C1" w14:textId="77777777" w:rsidR="004B2027" w:rsidRPr="0060202C" w:rsidRDefault="004B2027" w:rsidP="003A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Izrakstīts sods, EUR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18D8B8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Skaits</w:t>
            </w:r>
          </w:p>
        </w:tc>
      </w:tr>
      <w:tr w:rsidR="004B2027" w:rsidRPr="0060202C" w14:paraId="72597B50" w14:textId="77777777" w:rsidTr="003A73EB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A4A2C08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6,00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8819FB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12</w:t>
            </w:r>
          </w:p>
        </w:tc>
      </w:tr>
      <w:tr w:rsidR="004B2027" w:rsidRPr="0060202C" w14:paraId="58CCAA72" w14:textId="77777777" w:rsidTr="003A73EB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DDC90B0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A7AE0B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</w:t>
            </w:r>
          </w:p>
        </w:tc>
      </w:tr>
      <w:tr w:rsidR="004B2027" w:rsidRPr="0060202C" w14:paraId="724E59F5" w14:textId="77777777" w:rsidTr="003A73EB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EB3B812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A97085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44</w:t>
            </w:r>
          </w:p>
        </w:tc>
      </w:tr>
      <w:tr w:rsidR="004B2027" w:rsidRPr="0060202C" w14:paraId="176D728A" w14:textId="77777777" w:rsidTr="003A73EB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2DDFC52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25BA6B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35</w:t>
            </w:r>
          </w:p>
        </w:tc>
      </w:tr>
      <w:tr w:rsidR="004B2027" w:rsidRPr="0060202C" w14:paraId="28DB9D47" w14:textId="77777777" w:rsidTr="003A73EB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CCFDF8A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12,00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BF8EF2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163</w:t>
            </w:r>
          </w:p>
        </w:tc>
      </w:tr>
      <w:tr w:rsidR="004B2027" w:rsidRPr="0060202C" w14:paraId="1D8B898B" w14:textId="77777777" w:rsidTr="003A73EB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2D6B96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13,50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851536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572</w:t>
            </w:r>
          </w:p>
        </w:tc>
      </w:tr>
      <w:tr w:rsidR="004B2027" w:rsidRPr="0060202C" w14:paraId="1E4837C2" w14:textId="77777777" w:rsidTr="003A73EB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D285392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14,50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1AB2BF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98</w:t>
            </w:r>
          </w:p>
        </w:tc>
      </w:tr>
      <w:tr w:rsidR="004B2027" w:rsidRPr="0060202C" w14:paraId="1197134B" w14:textId="77777777" w:rsidTr="003A73EB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38FD64E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1D5D74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1225</w:t>
            </w:r>
          </w:p>
        </w:tc>
      </w:tr>
      <w:tr w:rsidR="004B2027" w:rsidRPr="0060202C" w14:paraId="7ED5433A" w14:textId="77777777" w:rsidTr="003A73EB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BCBEA27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E2C612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712</w:t>
            </w:r>
          </w:p>
        </w:tc>
      </w:tr>
      <w:tr w:rsidR="004B2027" w:rsidRPr="0060202C" w14:paraId="06869201" w14:textId="77777777" w:rsidTr="003A73EB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6810C18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37,00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B9D0A8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</w:t>
            </w:r>
          </w:p>
        </w:tc>
      </w:tr>
      <w:tr w:rsidR="004B2027" w:rsidRPr="0060202C" w14:paraId="141908C7" w14:textId="77777777" w:rsidTr="003A73EB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39BE316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63C212" w14:textId="77777777" w:rsidR="004B2027" w:rsidRPr="0060202C" w:rsidRDefault="004B2027" w:rsidP="003A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0202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440</w:t>
            </w:r>
          </w:p>
        </w:tc>
      </w:tr>
    </w:tbl>
    <w:p w14:paraId="58EA3C40" w14:textId="77777777" w:rsidR="00DF7128" w:rsidRPr="0060202C" w:rsidRDefault="00DF7128" w:rsidP="00044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17B73" w14:textId="0F44318D" w:rsidR="00D079CB" w:rsidRPr="0060202C" w:rsidRDefault="00197C34" w:rsidP="000B5981">
      <w:pPr>
        <w:pStyle w:val="ListParagraph"/>
        <w:numPr>
          <w:ilvl w:val="0"/>
          <w:numId w:val="6"/>
        </w:numPr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02C">
        <w:rPr>
          <w:rFonts w:ascii="Times New Roman" w:eastAsia="Times New Roman" w:hAnsi="Times New Roman" w:cs="Times New Roman"/>
          <w:sz w:val="24"/>
          <w:szCs w:val="24"/>
        </w:rPr>
        <w:t>Par v</w:t>
      </w:r>
      <w:r w:rsidR="00871DDE" w:rsidRPr="0060202C">
        <w:rPr>
          <w:rFonts w:ascii="Times New Roman" w:eastAsia="Times New Roman" w:hAnsi="Times New Roman" w:cs="Times New Roman"/>
          <w:sz w:val="24"/>
          <w:szCs w:val="24"/>
        </w:rPr>
        <w:t xml:space="preserve">isiem statistikā norādītajiem </w:t>
      </w:r>
      <w:r w:rsidR="00CE3B34" w:rsidRPr="0060202C">
        <w:rPr>
          <w:rFonts w:ascii="Times New Roman" w:eastAsia="Times New Roman" w:hAnsi="Times New Roman" w:cs="Times New Roman"/>
          <w:sz w:val="24"/>
          <w:szCs w:val="24"/>
        </w:rPr>
        <w:t>debitoriem</w:t>
      </w:r>
      <w:r w:rsidR="00871DDE" w:rsidRPr="00602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839" w:rsidRPr="0060202C">
        <w:rPr>
          <w:rFonts w:ascii="Times New Roman" w:eastAsia="Times New Roman" w:hAnsi="Times New Roman" w:cs="Times New Roman"/>
          <w:sz w:val="24"/>
          <w:szCs w:val="24"/>
        </w:rPr>
        <w:t>Pasūtītāja</w:t>
      </w:r>
      <w:r w:rsidR="00871DDE" w:rsidRPr="00602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8D0" w:rsidRPr="0060202C">
        <w:rPr>
          <w:rFonts w:ascii="Times New Roman" w:eastAsia="Times New Roman" w:hAnsi="Times New Roman" w:cs="Times New Roman"/>
          <w:sz w:val="24"/>
          <w:szCs w:val="24"/>
        </w:rPr>
        <w:t xml:space="preserve">digitālajā </w:t>
      </w:r>
      <w:r w:rsidR="00871DDE" w:rsidRPr="0060202C">
        <w:rPr>
          <w:rFonts w:ascii="Times New Roman" w:eastAsia="Times New Roman" w:hAnsi="Times New Roman" w:cs="Times New Roman"/>
          <w:sz w:val="24"/>
          <w:szCs w:val="24"/>
        </w:rPr>
        <w:t>datubāzē ir pieejamas pārkāpum</w:t>
      </w:r>
      <w:r w:rsidR="006F48D0" w:rsidRPr="0060202C">
        <w:rPr>
          <w:rFonts w:ascii="Times New Roman" w:eastAsia="Times New Roman" w:hAnsi="Times New Roman" w:cs="Times New Roman"/>
          <w:sz w:val="24"/>
          <w:szCs w:val="24"/>
        </w:rPr>
        <w:t>u</w:t>
      </w:r>
      <w:r w:rsidR="00871DDE" w:rsidRPr="0060202C">
        <w:rPr>
          <w:rFonts w:ascii="Times New Roman" w:eastAsia="Times New Roman" w:hAnsi="Times New Roman" w:cs="Times New Roman"/>
          <w:sz w:val="24"/>
          <w:szCs w:val="24"/>
        </w:rPr>
        <w:t xml:space="preserve"> foto</w:t>
      </w:r>
      <w:r w:rsidR="00EE2F9B" w:rsidRPr="006020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DDE" w:rsidRPr="0060202C">
        <w:rPr>
          <w:rFonts w:ascii="Times New Roman" w:eastAsia="Times New Roman" w:hAnsi="Times New Roman" w:cs="Times New Roman"/>
          <w:sz w:val="24"/>
          <w:szCs w:val="24"/>
        </w:rPr>
        <w:t>fiksācijas</w:t>
      </w:r>
      <w:r w:rsidR="006F48D0" w:rsidRPr="006020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7EAC57" w14:textId="63C962F6" w:rsidR="008340E0" w:rsidRDefault="00416800" w:rsidP="000B5981">
      <w:pPr>
        <w:pStyle w:val="ListParagraph"/>
        <w:numPr>
          <w:ilvl w:val="0"/>
          <w:numId w:val="6"/>
        </w:numPr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16">
        <w:rPr>
          <w:rFonts w:ascii="Times New Roman" w:eastAsia="Times New Roman" w:hAnsi="Times New Roman" w:cs="Times New Roman"/>
          <w:sz w:val="24"/>
          <w:szCs w:val="24"/>
        </w:rPr>
        <w:t xml:space="preserve">Papildus informācija </w:t>
      </w:r>
      <w:r w:rsidR="008340E0" w:rsidRPr="00044316">
        <w:rPr>
          <w:rFonts w:ascii="Times New Roman" w:eastAsia="Times New Roman" w:hAnsi="Times New Roman" w:cs="Times New Roman"/>
          <w:sz w:val="24"/>
          <w:szCs w:val="24"/>
        </w:rPr>
        <w:t xml:space="preserve">saistībā ar augstāk aprakstīto pieejami </w:t>
      </w:r>
      <w:r w:rsidR="00472839" w:rsidRPr="00044316">
        <w:rPr>
          <w:rFonts w:ascii="Times New Roman" w:eastAsia="Times New Roman" w:hAnsi="Times New Roman" w:cs="Times New Roman"/>
          <w:sz w:val="24"/>
          <w:szCs w:val="24"/>
        </w:rPr>
        <w:t>Pasūtītāja</w:t>
      </w:r>
      <w:r w:rsidR="008340E0" w:rsidRPr="00044316">
        <w:rPr>
          <w:rFonts w:ascii="Times New Roman" w:eastAsia="Times New Roman" w:hAnsi="Times New Roman" w:cs="Times New Roman"/>
          <w:sz w:val="24"/>
          <w:szCs w:val="24"/>
        </w:rPr>
        <w:t xml:space="preserve"> birojā Vestienas ielā 35</w:t>
      </w:r>
      <w:r w:rsidR="00472839" w:rsidRPr="00044316">
        <w:rPr>
          <w:rFonts w:ascii="Times New Roman" w:eastAsia="Times New Roman" w:hAnsi="Times New Roman" w:cs="Times New Roman"/>
          <w:sz w:val="24"/>
          <w:szCs w:val="24"/>
        </w:rPr>
        <w:t>, Rīgā</w:t>
      </w:r>
      <w:r w:rsidR="008340E0" w:rsidRPr="000443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A68EBA" w14:textId="5ADCBBDA" w:rsidR="008340E0" w:rsidRPr="00044316" w:rsidRDefault="00DF0A61" w:rsidP="000B5981">
      <w:pPr>
        <w:pStyle w:val="ListParagraph"/>
        <w:numPr>
          <w:ilvl w:val="0"/>
          <w:numId w:val="6"/>
        </w:numPr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316">
        <w:rPr>
          <w:rFonts w:ascii="Times New Roman" w:eastAsia="Times New Roman" w:hAnsi="Times New Roman" w:cs="Times New Roman"/>
          <w:sz w:val="24"/>
          <w:szCs w:val="24"/>
        </w:rPr>
        <w:t>Pasūtītājs</w:t>
      </w:r>
      <w:r w:rsidR="008340E0" w:rsidRPr="00044316">
        <w:rPr>
          <w:rFonts w:ascii="Times New Roman" w:eastAsia="Times New Roman" w:hAnsi="Times New Roman" w:cs="Times New Roman"/>
          <w:sz w:val="24"/>
          <w:szCs w:val="24"/>
        </w:rPr>
        <w:t xml:space="preserve"> sagaida, ka </w:t>
      </w:r>
      <w:r w:rsidR="007A6C22" w:rsidRPr="00044316">
        <w:rPr>
          <w:rFonts w:ascii="Times New Roman" w:eastAsia="Times New Roman" w:hAnsi="Times New Roman" w:cs="Times New Roman"/>
          <w:sz w:val="24"/>
          <w:szCs w:val="24"/>
        </w:rPr>
        <w:t>Pakalpojuma sniedzējam</w:t>
      </w:r>
      <w:r w:rsidR="008340E0" w:rsidRPr="00044316">
        <w:rPr>
          <w:rFonts w:ascii="Times New Roman" w:eastAsia="Times New Roman" w:hAnsi="Times New Roman" w:cs="Times New Roman"/>
          <w:sz w:val="24"/>
          <w:szCs w:val="24"/>
        </w:rPr>
        <w:t>, nepieciešamības gadījumā, būs jāsniedz arī publiska informācija vai komentāri sabiedrībai un plašsaziņas līdzekļiem.</w:t>
      </w:r>
    </w:p>
    <w:sectPr w:rsidR="008340E0" w:rsidRPr="00044316" w:rsidSect="00A93689">
      <w:pgSz w:w="11906" w:h="16838"/>
      <w:pgMar w:top="709" w:right="1133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7ED9" w14:textId="77777777" w:rsidR="003F624D" w:rsidRDefault="003F624D" w:rsidP="008340E0">
      <w:pPr>
        <w:spacing w:after="0" w:line="240" w:lineRule="auto"/>
      </w:pPr>
      <w:r>
        <w:separator/>
      </w:r>
    </w:p>
  </w:endnote>
  <w:endnote w:type="continuationSeparator" w:id="0">
    <w:p w14:paraId="2ACA7E94" w14:textId="77777777" w:rsidR="003F624D" w:rsidRDefault="003F624D" w:rsidP="008340E0">
      <w:pPr>
        <w:spacing w:after="0" w:line="240" w:lineRule="auto"/>
      </w:pPr>
      <w:r>
        <w:continuationSeparator/>
      </w:r>
    </w:p>
  </w:endnote>
  <w:endnote w:type="continuationNotice" w:id="1">
    <w:p w14:paraId="423E3840" w14:textId="77777777" w:rsidR="003F624D" w:rsidRDefault="003F62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C6D7" w14:textId="77777777" w:rsidR="003F624D" w:rsidRDefault="003F624D" w:rsidP="008340E0">
      <w:pPr>
        <w:spacing w:after="0" w:line="240" w:lineRule="auto"/>
      </w:pPr>
      <w:r>
        <w:separator/>
      </w:r>
    </w:p>
  </w:footnote>
  <w:footnote w:type="continuationSeparator" w:id="0">
    <w:p w14:paraId="77841E42" w14:textId="77777777" w:rsidR="003F624D" w:rsidRDefault="003F624D" w:rsidP="008340E0">
      <w:pPr>
        <w:spacing w:after="0" w:line="240" w:lineRule="auto"/>
      </w:pPr>
      <w:r>
        <w:continuationSeparator/>
      </w:r>
    </w:p>
  </w:footnote>
  <w:footnote w:type="continuationNotice" w:id="1">
    <w:p w14:paraId="187A96C7" w14:textId="77777777" w:rsidR="003F624D" w:rsidRDefault="003F62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6CFF"/>
    <w:multiLevelType w:val="hybridMultilevel"/>
    <w:tmpl w:val="8418280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26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925260"/>
    <w:multiLevelType w:val="hybridMultilevel"/>
    <w:tmpl w:val="06761DD0"/>
    <w:lvl w:ilvl="0" w:tplc="323CB0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FB0B7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2FC8E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C0B0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0D4076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D8E21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32C40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72EAA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71A70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57842755"/>
    <w:multiLevelType w:val="hybridMultilevel"/>
    <w:tmpl w:val="47E0DD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1E10"/>
    <w:multiLevelType w:val="hybridMultilevel"/>
    <w:tmpl w:val="BE509C2A"/>
    <w:lvl w:ilvl="0" w:tplc="587E50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936759">
    <w:abstractNumId w:val="1"/>
  </w:num>
  <w:num w:numId="2" w16cid:durableId="11644732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5418437">
    <w:abstractNumId w:val="0"/>
  </w:num>
  <w:num w:numId="4" w16cid:durableId="73092789">
    <w:abstractNumId w:val="2"/>
  </w:num>
  <w:num w:numId="5" w16cid:durableId="1924483222">
    <w:abstractNumId w:val="3"/>
  </w:num>
  <w:num w:numId="6" w16cid:durableId="382945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B2"/>
    <w:rsid w:val="00002ACB"/>
    <w:rsid w:val="00003483"/>
    <w:rsid w:val="00011F47"/>
    <w:rsid w:val="0002174E"/>
    <w:rsid w:val="00023458"/>
    <w:rsid w:val="000327BC"/>
    <w:rsid w:val="000342D8"/>
    <w:rsid w:val="00035A75"/>
    <w:rsid w:val="00044316"/>
    <w:rsid w:val="00047480"/>
    <w:rsid w:val="00054E86"/>
    <w:rsid w:val="00055985"/>
    <w:rsid w:val="00076015"/>
    <w:rsid w:val="00076A46"/>
    <w:rsid w:val="00080A81"/>
    <w:rsid w:val="00080AD6"/>
    <w:rsid w:val="00086F52"/>
    <w:rsid w:val="00092F98"/>
    <w:rsid w:val="00096026"/>
    <w:rsid w:val="000A0245"/>
    <w:rsid w:val="000A423D"/>
    <w:rsid w:val="000A4E85"/>
    <w:rsid w:val="000B5981"/>
    <w:rsid w:val="000C181F"/>
    <w:rsid w:val="000E08C4"/>
    <w:rsid w:val="000F09FA"/>
    <w:rsid w:val="0010703A"/>
    <w:rsid w:val="001106D3"/>
    <w:rsid w:val="00144FD4"/>
    <w:rsid w:val="0015152B"/>
    <w:rsid w:val="00167E27"/>
    <w:rsid w:val="00174E4E"/>
    <w:rsid w:val="00187E6D"/>
    <w:rsid w:val="00197C34"/>
    <w:rsid w:val="00197D6F"/>
    <w:rsid w:val="001B32C1"/>
    <w:rsid w:val="001B41E1"/>
    <w:rsid w:val="001C001F"/>
    <w:rsid w:val="001C60F8"/>
    <w:rsid w:val="001D5E3E"/>
    <w:rsid w:val="001F1B81"/>
    <w:rsid w:val="00201E9D"/>
    <w:rsid w:val="002023BA"/>
    <w:rsid w:val="002064E4"/>
    <w:rsid w:val="00215E97"/>
    <w:rsid w:val="002273B3"/>
    <w:rsid w:val="0024410E"/>
    <w:rsid w:val="00251DE3"/>
    <w:rsid w:val="00253C7B"/>
    <w:rsid w:val="00257725"/>
    <w:rsid w:val="00264F3F"/>
    <w:rsid w:val="00270622"/>
    <w:rsid w:val="00272B70"/>
    <w:rsid w:val="002964D5"/>
    <w:rsid w:val="002A05A7"/>
    <w:rsid w:val="002A6B6B"/>
    <w:rsid w:val="002B2924"/>
    <w:rsid w:val="002B5B5B"/>
    <w:rsid w:val="002B6A54"/>
    <w:rsid w:val="002B747A"/>
    <w:rsid w:val="002C4FE6"/>
    <w:rsid w:val="002C60FF"/>
    <w:rsid w:val="002D1889"/>
    <w:rsid w:val="002E521B"/>
    <w:rsid w:val="002F16A4"/>
    <w:rsid w:val="003138F5"/>
    <w:rsid w:val="003176A4"/>
    <w:rsid w:val="00320C53"/>
    <w:rsid w:val="003266CA"/>
    <w:rsid w:val="003348D9"/>
    <w:rsid w:val="003411BC"/>
    <w:rsid w:val="003430CA"/>
    <w:rsid w:val="00364D60"/>
    <w:rsid w:val="00372067"/>
    <w:rsid w:val="003850D2"/>
    <w:rsid w:val="00386B72"/>
    <w:rsid w:val="003A0794"/>
    <w:rsid w:val="003A1B35"/>
    <w:rsid w:val="003A70C1"/>
    <w:rsid w:val="003B1955"/>
    <w:rsid w:val="003C3973"/>
    <w:rsid w:val="003D463D"/>
    <w:rsid w:val="003E372A"/>
    <w:rsid w:val="003F624D"/>
    <w:rsid w:val="003F77B3"/>
    <w:rsid w:val="00401F43"/>
    <w:rsid w:val="0040456D"/>
    <w:rsid w:val="00416800"/>
    <w:rsid w:val="0042453F"/>
    <w:rsid w:val="004246A5"/>
    <w:rsid w:val="00430CB5"/>
    <w:rsid w:val="0043248E"/>
    <w:rsid w:val="00432D6A"/>
    <w:rsid w:val="0044278A"/>
    <w:rsid w:val="004536F1"/>
    <w:rsid w:val="00460BB3"/>
    <w:rsid w:val="004616C0"/>
    <w:rsid w:val="004623C0"/>
    <w:rsid w:val="00472839"/>
    <w:rsid w:val="004729A8"/>
    <w:rsid w:val="00475956"/>
    <w:rsid w:val="00476FB9"/>
    <w:rsid w:val="00480A97"/>
    <w:rsid w:val="00480BB4"/>
    <w:rsid w:val="00485673"/>
    <w:rsid w:val="00491FE3"/>
    <w:rsid w:val="00492481"/>
    <w:rsid w:val="004A173B"/>
    <w:rsid w:val="004B053A"/>
    <w:rsid w:val="004B2027"/>
    <w:rsid w:val="004B36F6"/>
    <w:rsid w:val="004C28E3"/>
    <w:rsid w:val="004C3C11"/>
    <w:rsid w:val="004C4FFF"/>
    <w:rsid w:val="004D00C0"/>
    <w:rsid w:val="004D31D1"/>
    <w:rsid w:val="004D3E90"/>
    <w:rsid w:val="004F14FF"/>
    <w:rsid w:val="0050017F"/>
    <w:rsid w:val="0050637E"/>
    <w:rsid w:val="005079DA"/>
    <w:rsid w:val="0051186B"/>
    <w:rsid w:val="00513F42"/>
    <w:rsid w:val="00520E21"/>
    <w:rsid w:val="00525DB5"/>
    <w:rsid w:val="00545323"/>
    <w:rsid w:val="005549EE"/>
    <w:rsid w:val="00556FF0"/>
    <w:rsid w:val="00557D6E"/>
    <w:rsid w:val="00560E78"/>
    <w:rsid w:val="0056617D"/>
    <w:rsid w:val="00572C69"/>
    <w:rsid w:val="00573928"/>
    <w:rsid w:val="00590A56"/>
    <w:rsid w:val="00590F43"/>
    <w:rsid w:val="005949CF"/>
    <w:rsid w:val="005A052E"/>
    <w:rsid w:val="005B604B"/>
    <w:rsid w:val="005B62DD"/>
    <w:rsid w:val="005C7CA7"/>
    <w:rsid w:val="005D1586"/>
    <w:rsid w:val="005D68D5"/>
    <w:rsid w:val="005E0BBF"/>
    <w:rsid w:val="005E3FE1"/>
    <w:rsid w:val="005E68C2"/>
    <w:rsid w:val="005F4A41"/>
    <w:rsid w:val="005F4C0B"/>
    <w:rsid w:val="005F59B5"/>
    <w:rsid w:val="0060202C"/>
    <w:rsid w:val="006027F1"/>
    <w:rsid w:val="00603327"/>
    <w:rsid w:val="0061784D"/>
    <w:rsid w:val="00633C87"/>
    <w:rsid w:val="00634697"/>
    <w:rsid w:val="0064034A"/>
    <w:rsid w:val="006520EB"/>
    <w:rsid w:val="00662DBA"/>
    <w:rsid w:val="00672C4E"/>
    <w:rsid w:val="006761E0"/>
    <w:rsid w:val="00691ABB"/>
    <w:rsid w:val="006A69E6"/>
    <w:rsid w:val="006B1EAA"/>
    <w:rsid w:val="006B2319"/>
    <w:rsid w:val="006C7B1A"/>
    <w:rsid w:val="006D003C"/>
    <w:rsid w:val="006D3BA0"/>
    <w:rsid w:val="006E21D5"/>
    <w:rsid w:val="006E4294"/>
    <w:rsid w:val="006E476C"/>
    <w:rsid w:val="006E608A"/>
    <w:rsid w:val="006F4015"/>
    <w:rsid w:val="006F48D0"/>
    <w:rsid w:val="00711F98"/>
    <w:rsid w:val="007211ED"/>
    <w:rsid w:val="00721205"/>
    <w:rsid w:val="00731BD6"/>
    <w:rsid w:val="00743F24"/>
    <w:rsid w:val="00755D7D"/>
    <w:rsid w:val="007579D5"/>
    <w:rsid w:val="007601A7"/>
    <w:rsid w:val="0077106F"/>
    <w:rsid w:val="00777756"/>
    <w:rsid w:val="00781847"/>
    <w:rsid w:val="00785C7C"/>
    <w:rsid w:val="007930E4"/>
    <w:rsid w:val="00796197"/>
    <w:rsid w:val="007A41ED"/>
    <w:rsid w:val="007A6C22"/>
    <w:rsid w:val="007A78F0"/>
    <w:rsid w:val="007B452E"/>
    <w:rsid w:val="007B4ED1"/>
    <w:rsid w:val="007C118B"/>
    <w:rsid w:val="007C2201"/>
    <w:rsid w:val="007C32FD"/>
    <w:rsid w:val="007E1DBD"/>
    <w:rsid w:val="008137D4"/>
    <w:rsid w:val="008340E0"/>
    <w:rsid w:val="008434CA"/>
    <w:rsid w:val="00853CE3"/>
    <w:rsid w:val="0086626E"/>
    <w:rsid w:val="00866B1E"/>
    <w:rsid w:val="00871C4A"/>
    <w:rsid w:val="00871DDE"/>
    <w:rsid w:val="00874093"/>
    <w:rsid w:val="00891CF2"/>
    <w:rsid w:val="008949FB"/>
    <w:rsid w:val="008A065D"/>
    <w:rsid w:val="008A118E"/>
    <w:rsid w:val="008A2C30"/>
    <w:rsid w:val="008A62A4"/>
    <w:rsid w:val="008B627F"/>
    <w:rsid w:val="008B6AE9"/>
    <w:rsid w:val="008B6E92"/>
    <w:rsid w:val="008C08F9"/>
    <w:rsid w:val="008E2ED9"/>
    <w:rsid w:val="008E5D05"/>
    <w:rsid w:val="008F1FC8"/>
    <w:rsid w:val="008F2FEE"/>
    <w:rsid w:val="009008F4"/>
    <w:rsid w:val="0090761C"/>
    <w:rsid w:val="00910ADA"/>
    <w:rsid w:val="00914C6E"/>
    <w:rsid w:val="00941619"/>
    <w:rsid w:val="009476FC"/>
    <w:rsid w:val="009535A0"/>
    <w:rsid w:val="0096317C"/>
    <w:rsid w:val="009634EB"/>
    <w:rsid w:val="009655CE"/>
    <w:rsid w:val="00970559"/>
    <w:rsid w:val="00970B25"/>
    <w:rsid w:val="00983970"/>
    <w:rsid w:val="009924B2"/>
    <w:rsid w:val="00993CC7"/>
    <w:rsid w:val="009A0BAE"/>
    <w:rsid w:val="009B5559"/>
    <w:rsid w:val="009B599F"/>
    <w:rsid w:val="009B6A00"/>
    <w:rsid w:val="009E4DF9"/>
    <w:rsid w:val="009F407C"/>
    <w:rsid w:val="00A1120F"/>
    <w:rsid w:val="00A13ECE"/>
    <w:rsid w:val="00A21CEA"/>
    <w:rsid w:val="00A27B1B"/>
    <w:rsid w:val="00A36B4C"/>
    <w:rsid w:val="00A37898"/>
    <w:rsid w:val="00A41559"/>
    <w:rsid w:val="00A44B30"/>
    <w:rsid w:val="00A53878"/>
    <w:rsid w:val="00A64F42"/>
    <w:rsid w:val="00A65CDD"/>
    <w:rsid w:val="00A677DB"/>
    <w:rsid w:val="00A71B13"/>
    <w:rsid w:val="00A8009E"/>
    <w:rsid w:val="00A86003"/>
    <w:rsid w:val="00A872DE"/>
    <w:rsid w:val="00A93689"/>
    <w:rsid w:val="00A95C92"/>
    <w:rsid w:val="00AA1F68"/>
    <w:rsid w:val="00AA3ADD"/>
    <w:rsid w:val="00AB5F5E"/>
    <w:rsid w:val="00AB690B"/>
    <w:rsid w:val="00B11190"/>
    <w:rsid w:val="00B15F3C"/>
    <w:rsid w:val="00B2010F"/>
    <w:rsid w:val="00B22D49"/>
    <w:rsid w:val="00B2503F"/>
    <w:rsid w:val="00B34AC5"/>
    <w:rsid w:val="00B35C87"/>
    <w:rsid w:val="00B414C6"/>
    <w:rsid w:val="00B5091D"/>
    <w:rsid w:val="00B57C39"/>
    <w:rsid w:val="00B613BE"/>
    <w:rsid w:val="00B62B77"/>
    <w:rsid w:val="00B7611F"/>
    <w:rsid w:val="00B77F19"/>
    <w:rsid w:val="00B844CB"/>
    <w:rsid w:val="00B86101"/>
    <w:rsid w:val="00B9446A"/>
    <w:rsid w:val="00B97166"/>
    <w:rsid w:val="00BA07F9"/>
    <w:rsid w:val="00BA40D4"/>
    <w:rsid w:val="00BB4411"/>
    <w:rsid w:val="00BC0CB2"/>
    <w:rsid w:val="00BE22F0"/>
    <w:rsid w:val="00BE6C5B"/>
    <w:rsid w:val="00BF1AFD"/>
    <w:rsid w:val="00BF702C"/>
    <w:rsid w:val="00C00A79"/>
    <w:rsid w:val="00C0718F"/>
    <w:rsid w:val="00C223E5"/>
    <w:rsid w:val="00C27998"/>
    <w:rsid w:val="00C35572"/>
    <w:rsid w:val="00C4318B"/>
    <w:rsid w:val="00C44BEE"/>
    <w:rsid w:val="00C451C6"/>
    <w:rsid w:val="00C502C2"/>
    <w:rsid w:val="00C61FED"/>
    <w:rsid w:val="00C65DFA"/>
    <w:rsid w:val="00C71D67"/>
    <w:rsid w:val="00C734DA"/>
    <w:rsid w:val="00C74D4F"/>
    <w:rsid w:val="00C77EE3"/>
    <w:rsid w:val="00C81509"/>
    <w:rsid w:val="00C85135"/>
    <w:rsid w:val="00C85D9C"/>
    <w:rsid w:val="00C95B14"/>
    <w:rsid w:val="00CA60E5"/>
    <w:rsid w:val="00CC439E"/>
    <w:rsid w:val="00CD10A8"/>
    <w:rsid w:val="00CD3D12"/>
    <w:rsid w:val="00CE3B34"/>
    <w:rsid w:val="00CF250B"/>
    <w:rsid w:val="00D028C5"/>
    <w:rsid w:val="00D079CB"/>
    <w:rsid w:val="00D21083"/>
    <w:rsid w:val="00D27BA8"/>
    <w:rsid w:val="00D3356F"/>
    <w:rsid w:val="00D37A83"/>
    <w:rsid w:val="00D4044D"/>
    <w:rsid w:val="00D41687"/>
    <w:rsid w:val="00D47C4B"/>
    <w:rsid w:val="00D50097"/>
    <w:rsid w:val="00D60884"/>
    <w:rsid w:val="00D60C55"/>
    <w:rsid w:val="00D60E39"/>
    <w:rsid w:val="00D722A9"/>
    <w:rsid w:val="00D8681C"/>
    <w:rsid w:val="00D9071C"/>
    <w:rsid w:val="00D912F5"/>
    <w:rsid w:val="00D9682C"/>
    <w:rsid w:val="00DA1728"/>
    <w:rsid w:val="00DA3B34"/>
    <w:rsid w:val="00DA5A90"/>
    <w:rsid w:val="00DA773C"/>
    <w:rsid w:val="00DA7D37"/>
    <w:rsid w:val="00DB4527"/>
    <w:rsid w:val="00DB63F5"/>
    <w:rsid w:val="00DC04CD"/>
    <w:rsid w:val="00DC3AE4"/>
    <w:rsid w:val="00DE7C9C"/>
    <w:rsid w:val="00DF0A61"/>
    <w:rsid w:val="00DF7128"/>
    <w:rsid w:val="00E01E3C"/>
    <w:rsid w:val="00E0628B"/>
    <w:rsid w:val="00E1673E"/>
    <w:rsid w:val="00E170A7"/>
    <w:rsid w:val="00E216E3"/>
    <w:rsid w:val="00E25CBC"/>
    <w:rsid w:val="00E30B6A"/>
    <w:rsid w:val="00E37969"/>
    <w:rsid w:val="00E44346"/>
    <w:rsid w:val="00E56778"/>
    <w:rsid w:val="00E64230"/>
    <w:rsid w:val="00E723BA"/>
    <w:rsid w:val="00E85808"/>
    <w:rsid w:val="00E9222C"/>
    <w:rsid w:val="00ED0E1F"/>
    <w:rsid w:val="00EE06B5"/>
    <w:rsid w:val="00EE2F9B"/>
    <w:rsid w:val="00F14EDA"/>
    <w:rsid w:val="00F23C5A"/>
    <w:rsid w:val="00F24D51"/>
    <w:rsid w:val="00F25C41"/>
    <w:rsid w:val="00F35585"/>
    <w:rsid w:val="00F36018"/>
    <w:rsid w:val="00F40C83"/>
    <w:rsid w:val="00F418AC"/>
    <w:rsid w:val="00F44E94"/>
    <w:rsid w:val="00F52DB6"/>
    <w:rsid w:val="00F67AEC"/>
    <w:rsid w:val="00F82471"/>
    <w:rsid w:val="00F849E3"/>
    <w:rsid w:val="00F96C94"/>
    <w:rsid w:val="00FA072F"/>
    <w:rsid w:val="00FA21E8"/>
    <w:rsid w:val="00FA5122"/>
    <w:rsid w:val="00FF1036"/>
    <w:rsid w:val="00FF2DB2"/>
    <w:rsid w:val="065AF090"/>
    <w:rsid w:val="06B41517"/>
    <w:rsid w:val="0E891FF3"/>
    <w:rsid w:val="176E2236"/>
    <w:rsid w:val="228AC572"/>
    <w:rsid w:val="2F4FC61D"/>
    <w:rsid w:val="341B84F5"/>
    <w:rsid w:val="3A10D381"/>
    <w:rsid w:val="3B7919F6"/>
    <w:rsid w:val="3F4B943A"/>
    <w:rsid w:val="40E6C595"/>
    <w:rsid w:val="52A8CD27"/>
    <w:rsid w:val="58629008"/>
    <w:rsid w:val="5E7AC9EE"/>
    <w:rsid w:val="64BAD86D"/>
    <w:rsid w:val="66231EC9"/>
    <w:rsid w:val="6D2A59CA"/>
    <w:rsid w:val="757BF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C80E7"/>
  <w15:chartTrackingRefBased/>
  <w15:docId w15:val="{48547B78-74E4-4FDC-8467-8C1A8121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C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C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C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C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C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CB2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866B1E"/>
  </w:style>
  <w:style w:type="paragraph" w:styleId="FootnoteText">
    <w:name w:val="footnote text"/>
    <w:basedOn w:val="Normal"/>
    <w:link w:val="FootnoteTextChar"/>
    <w:uiPriority w:val="99"/>
    <w:semiHidden/>
    <w:unhideWhenUsed/>
    <w:rsid w:val="008340E0"/>
    <w:pPr>
      <w:spacing w:after="0" w:line="240" w:lineRule="auto"/>
    </w:pPr>
    <w:rPr>
      <w:rFonts w:ascii="Calibri" w:hAnsi="Calibri" w:cs="Calibri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0E0"/>
    <w:rPr>
      <w:rFonts w:ascii="Calibri" w:hAnsi="Calibri" w:cs="Calibr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40E0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52D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DB6"/>
  </w:style>
  <w:style w:type="paragraph" w:styleId="Footer">
    <w:name w:val="footer"/>
    <w:basedOn w:val="Normal"/>
    <w:link w:val="FooterChar"/>
    <w:uiPriority w:val="99"/>
    <w:semiHidden/>
    <w:unhideWhenUsed/>
    <w:rsid w:val="00F52D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DB6"/>
  </w:style>
  <w:style w:type="paragraph" w:styleId="Revision">
    <w:name w:val="Revision"/>
    <w:hidden/>
    <w:uiPriority w:val="99"/>
    <w:semiHidden/>
    <w:rsid w:val="00F96C9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3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F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Baumane</dc:creator>
  <cp:keywords/>
  <dc:description/>
  <cp:lastModifiedBy>Solvita Riekstiņa</cp:lastModifiedBy>
  <cp:revision>126</cp:revision>
  <cp:lastPrinted>2025-02-06T08:10:00Z</cp:lastPrinted>
  <dcterms:created xsi:type="dcterms:W3CDTF">2025-02-11T18:18:00Z</dcterms:created>
  <dcterms:modified xsi:type="dcterms:W3CDTF">2025-04-15T07:42:00Z</dcterms:modified>
</cp:coreProperties>
</file>