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BDF4" w14:textId="77777777" w:rsidR="00F91804" w:rsidRPr="00B1476D" w:rsidRDefault="00F91804" w:rsidP="00B1476D">
      <w:pPr>
        <w:jc w:val="right"/>
        <w:rPr>
          <w:b/>
          <w:lang w:val="lv-LV"/>
        </w:rPr>
      </w:pPr>
      <w:r w:rsidRPr="00B1476D">
        <w:rPr>
          <w:b/>
          <w:lang w:val="lv-LV"/>
        </w:rPr>
        <w:t>APSTIPRINĀTS</w:t>
      </w:r>
    </w:p>
    <w:p w14:paraId="19291DD3" w14:textId="2D3502BC" w:rsidR="00F91804" w:rsidRPr="00B1476D" w:rsidRDefault="00F91804" w:rsidP="00B1476D">
      <w:pPr>
        <w:jc w:val="right"/>
        <w:rPr>
          <w:lang w:val="lv-LV"/>
        </w:rPr>
      </w:pPr>
      <w:r w:rsidRPr="00B1476D">
        <w:rPr>
          <w:lang w:val="lv-LV"/>
        </w:rPr>
        <w:t xml:space="preserve">ar 2024. gada </w:t>
      </w:r>
      <w:r w:rsidR="003809BD">
        <w:rPr>
          <w:lang w:val="lv-LV"/>
        </w:rPr>
        <w:t>14</w:t>
      </w:r>
      <w:r w:rsidRPr="00B1476D">
        <w:rPr>
          <w:lang w:val="lv-LV"/>
        </w:rPr>
        <w:t>. decembra</w:t>
      </w:r>
    </w:p>
    <w:p w14:paraId="5969D582" w14:textId="77777777" w:rsidR="00F91804" w:rsidRPr="00B1476D" w:rsidRDefault="00F91804" w:rsidP="00B1476D">
      <w:pPr>
        <w:jc w:val="right"/>
        <w:rPr>
          <w:lang w:val="lv-LV"/>
        </w:rPr>
      </w:pPr>
      <w:r w:rsidRPr="00B1476D">
        <w:rPr>
          <w:lang w:val="lv-LV"/>
        </w:rPr>
        <w:t>Iepirkuma komisijas lēmumu</w:t>
      </w:r>
    </w:p>
    <w:p w14:paraId="4C30BC5C" w14:textId="77777777" w:rsidR="00F91804" w:rsidRPr="00B1476D" w:rsidRDefault="00F91804" w:rsidP="00B1476D">
      <w:pPr>
        <w:ind w:hanging="284"/>
        <w:jc w:val="center"/>
        <w:rPr>
          <w:b/>
          <w:lang w:val="lv-LV"/>
        </w:rPr>
      </w:pPr>
    </w:p>
    <w:p w14:paraId="04B6F0FD" w14:textId="77777777" w:rsidR="00F91804" w:rsidRPr="00B1476D" w:rsidRDefault="00F91804" w:rsidP="00B1476D">
      <w:pPr>
        <w:rPr>
          <w:b/>
          <w:lang w:val="lv-LV"/>
        </w:rPr>
      </w:pPr>
    </w:p>
    <w:p w14:paraId="7947CC09" w14:textId="77777777" w:rsidR="00F91804" w:rsidRPr="00B1476D" w:rsidRDefault="00F91804" w:rsidP="00B1476D">
      <w:pPr>
        <w:ind w:hanging="284"/>
        <w:jc w:val="center"/>
        <w:rPr>
          <w:b/>
          <w:lang w:val="lv-LV"/>
        </w:rPr>
      </w:pPr>
      <w:r w:rsidRPr="00B1476D">
        <w:rPr>
          <w:b/>
          <w:lang w:val="lv-LV"/>
        </w:rPr>
        <w:t>GROZĪJUMI</w:t>
      </w:r>
    </w:p>
    <w:p w14:paraId="526B62F7" w14:textId="77777777" w:rsidR="00F91804" w:rsidRPr="00B1476D" w:rsidRDefault="00F91804" w:rsidP="00B1476D">
      <w:pPr>
        <w:jc w:val="center"/>
        <w:rPr>
          <w:rFonts w:eastAsia="Calibri"/>
          <w:lang w:val="lv-LV"/>
        </w:rPr>
      </w:pPr>
      <w:r w:rsidRPr="00B1476D">
        <w:rPr>
          <w:rFonts w:eastAsia="Calibri"/>
          <w:lang w:val="lv-LV"/>
        </w:rPr>
        <w:t>iepirkuma procedūras</w:t>
      </w:r>
    </w:p>
    <w:p w14:paraId="7CC07492" w14:textId="3833158A" w:rsidR="00F91804" w:rsidRPr="00B1476D" w:rsidRDefault="00F91804" w:rsidP="00B1476D">
      <w:pPr>
        <w:jc w:val="center"/>
        <w:rPr>
          <w:lang w:val="lv-LV" w:eastAsia="lv-LV"/>
        </w:rPr>
      </w:pPr>
      <w:r w:rsidRPr="00B1476D">
        <w:rPr>
          <w:rFonts w:eastAsia="Calibri"/>
          <w:b/>
          <w:lang w:val="lv-LV"/>
        </w:rPr>
        <w:t xml:space="preserve"> “</w:t>
      </w:r>
      <w:r w:rsidRPr="00B1476D">
        <w:rPr>
          <w:b/>
          <w:bCs/>
          <w:lang w:val="lv-LV"/>
        </w:rPr>
        <w:t>Teleskopiskā iekrāvēja ar aprīkojumu piegāde un apkope</w:t>
      </w:r>
      <w:r w:rsidRPr="00B1476D">
        <w:rPr>
          <w:b/>
          <w:lang w:val="lv-LV"/>
        </w:rPr>
        <w:t>”</w:t>
      </w:r>
      <w:r w:rsidRPr="00B1476D">
        <w:rPr>
          <w:rFonts w:eastAsia="Calibri"/>
          <w:b/>
          <w:lang w:val="lv-LV"/>
        </w:rPr>
        <w:br/>
      </w:r>
      <w:r w:rsidRPr="00B1476D">
        <w:rPr>
          <w:rFonts w:eastAsia="Calibri"/>
          <w:lang w:val="lv-LV"/>
        </w:rPr>
        <w:t>identifikācijas Nr. RS/2024/78</w:t>
      </w:r>
    </w:p>
    <w:p w14:paraId="7E44F2E1" w14:textId="77777777" w:rsidR="00F91804" w:rsidRPr="00B1476D" w:rsidRDefault="00F91804" w:rsidP="00B1476D">
      <w:pPr>
        <w:jc w:val="center"/>
        <w:rPr>
          <w:rFonts w:eastAsiaTheme="minorHAnsi"/>
          <w:bCs/>
          <w:lang w:val="lv-LV"/>
        </w:rPr>
      </w:pPr>
      <w:r w:rsidRPr="00B1476D">
        <w:rPr>
          <w:rFonts w:eastAsiaTheme="minorHAnsi"/>
          <w:bCs/>
          <w:lang w:val="lv-LV"/>
        </w:rPr>
        <w:t>nolikumā</w:t>
      </w:r>
    </w:p>
    <w:p w14:paraId="3626AD08" w14:textId="77777777" w:rsidR="00F91804" w:rsidRPr="00B1476D" w:rsidRDefault="00F91804" w:rsidP="00B1476D">
      <w:pPr>
        <w:jc w:val="center"/>
        <w:rPr>
          <w:lang w:val="lv-LV"/>
        </w:rPr>
      </w:pPr>
    </w:p>
    <w:p w14:paraId="04C8D929" w14:textId="077A5851" w:rsidR="00F91804" w:rsidRPr="00B1476D" w:rsidRDefault="00F91804" w:rsidP="00B1476D">
      <w:pPr>
        <w:jc w:val="both"/>
        <w:rPr>
          <w:bCs/>
          <w:color w:val="000000" w:themeColor="text1"/>
          <w:lang w:val="lv-LV"/>
        </w:rPr>
      </w:pPr>
      <w:r w:rsidRPr="00B1476D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B1476D">
        <w:rPr>
          <w:bCs/>
          <w:color w:val="000000" w:themeColor="text1"/>
          <w:lang w:val="lv-LV"/>
        </w:rPr>
        <w:t xml:space="preserve">iepirkuma procedūras </w:t>
      </w:r>
      <w:bookmarkEnd w:id="0"/>
      <w:r w:rsidRPr="00B1476D">
        <w:rPr>
          <w:bCs/>
          <w:color w:val="000000" w:themeColor="text1"/>
          <w:lang w:val="lv-LV"/>
        </w:rPr>
        <w:t>“</w:t>
      </w:r>
      <w:r w:rsidR="00DD32DC" w:rsidRPr="00B1476D">
        <w:rPr>
          <w:lang w:val="lv-LV"/>
        </w:rPr>
        <w:t>Teleskopiskā iekrāvēja ar aprīkojumu piegāde un apkope</w:t>
      </w:r>
      <w:r w:rsidRPr="00B1476D">
        <w:rPr>
          <w:bCs/>
          <w:color w:val="000000" w:themeColor="text1"/>
          <w:lang w:val="lv-LV"/>
        </w:rPr>
        <w:t>”, identifikācijas Nr. RS/2024/7</w:t>
      </w:r>
      <w:r w:rsidR="00DD32DC" w:rsidRPr="00B1476D">
        <w:rPr>
          <w:bCs/>
          <w:color w:val="000000" w:themeColor="text1"/>
          <w:lang w:val="lv-LV"/>
        </w:rPr>
        <w:t>8</w:t>
      </w:r>
      <w:r w:rsidRPr="00B1476D">
        <w:rPr>
          <w:bCs/>
          <w:color w:val="000000" w:themeColor="text1"/>
          <w:lang w:val="lv-LV"/>
        </w:rPr>
        <w:t xml:space="preserve">, Iepirkuma komisijas 2024. gada </w:t>
      </w:r>
      <w:r w:rsidR="00096ADA">
        <w:rPr>
          <w:bCs/>
          <w:color w:val="000000" w:themeColor="text1"/>
          <w:lang w:val="lv-LV"/>
        </w:rPr>
        <w:t>14</w:t>
      </w:r>
      <w:r w:rsidR="00DD32DC" w:rsidRPr="00B1476D">
        <w:rPr>
          <w:bCs/>
          <w:color w:val="000000" w:themeColor="text1"/>
          <w:lang w:val="lv-LV"/>
        </w:rPr>
        <w:t>. decembra</w:t>
      </w:r>
      <w:r w:rsidRPr="00B1476D">
        <w:rPr>
          <w:bCs/>
          <w:color w:val="000000" w:themeColor="text1"/>
          <w:lang w:val="lv-LV"/>
        </w:rPr>
        <w:t xml:space="preserve"> lēmumu, izdarīt iepirkuma procedūras</w:t>
      </w:r>
      <w:r w:rsidRPr="00B1476D">
        <w:rPr>
          <w:lang w:val="lv-LV"/>
        </w:rPr>
        <w:t xml:space="preserve"> </w:t>
      </w:r>
      <w:r w:rsidRPr="00B1476D">
        <w:rPr>
          <w:bCs/>
          <w:color w:val="000000" w:themeColor="text1"/>
          <w:lang w:val="lv-LV"/>
        </w:rPr>
        <w:t>“</w:t>
      </w:r>
      <w:r w:rsidR="00DD32DC" w:rsidRPr="00B1476D">
        <w:rPr>
          <w:lang w:val="lv-LV"/>
        </w:rPr>
        <w:t>Teleskopiskā iekrāvēja ar aprīkojumu piegāde un apkope</w:t>
      </w:r>
      <w:r w:rsidRPr="00B1476D">
        <w:rPr>
          <w:bCs/>
          <w:color w:val="000000" w:themeColor="text1"/>
          <w:lang w:val="lv-LV"/>
        </w:rPr>
        <w:t>”, identifikācijas Nr. RS/2024/7</w:t>
      </w:r>
      <w:r w:rsidR="00DD32DC" w:rsidRPr="00B1476D">
        <w:rPr>
          <w:bCs/>
          <w:color w:val="000000" w:themeColor="text1"/>
          <w:lang w:val="lv-LV"/>
        </w:rPr>
        <w:t>8</w:t>
      </w:r>
      <w:r w:rsidRPr="00B1476D">
        <w:rPr>
          <w:bCs/>
          <w:color w:val="000000" w:themeColor="text1"/>
          <w:lang w:val="lv-LV"/>
        </w:rPr>
        <w:t xml:space="preserve">, </w:t>
      </w:r>
      <w:r w:rsidRPr="00B1476D">
        <w:rPr>
          <w:lang w:val="lv-LV"/>
        </w:rPr>
        <w:t>nolikumā (turpmāk - nolikums) šādus grozījumus:</w:t>
      </w:r>
    </w:p>
    <w:p w14:paraId="283FB7C9" w14:textId="77777777" w:rsidR="00F91804" w:rsidRPr="00B1476D" w:rsidRDefault="00F91804" w:rsidP="00B1476D">
      <w:pPr>
        <w:jc w:val="both"/>
        <w:rPr>
          <w:rFonts w:eastAsiaTheme="minorHAnsi"/>
          <w:lang w:val="lv-LV"/>
        </w:rPr>
      </w:pPr>
    </w:p>
    <w:p w14:paraId="6D0DB4F3" w14:textId="76FF20A8" w:rsidR="0020154D" w:rsidRDefault="0020154D" w:rsidP="0020154D">
      <w:pPr>
        <w:pStyle w:val="ListParagraph"/>
        <w:numPr>
          <w:ilvl w:val="0"/>
          <w:numId w:val="5"/>
        </w:numPr>
        <w:ind w:left="567"/>
        <w:rPr>
          <w:rFonts w:ascii="Times New Roman" w:eastAsiaTheme="minorHAnsi" w:hAnsi="Times New Roman"/>
          <w:sz w:val="24"/>
          <w:szCs w:val="24"/>
        </w:rPr>
      </w:pPr>
      <w:r w:rsidRPr="0020154D">
        <w:rPr>
          <w:rFonts w:ascii="Times New Roman" w:eastAsiaTheme="minorHAnsi" w:hAnsi="Times New Roman"/>
          <w:sz w:val="24"/>
          <w:szCs w:val="24"/>
        </w:rPr>
        <w:t xml:space="preserve">Aizstāt visā nolikuma tekstā vārdus un ciparus “2024. gada </w:t>
      </w:r>
      <w:r>
        <w:rPr>
          <w:rFonts w:ascii="Times New Roman" w:eastAsiaTheme="minorHAnsi" w:hAnsi="Times New Roman"/>
          <w:sz w:val="24"/>
          <w:szCs w:val="24"/>
        </w:rPr>
        <w:t>27</w:t>
      </w:r>
      <w:r w:rsidRPr="0020154D">
        <w:rPr>
          <w:rFonts w:ascii="Times New Roman" w:eastAsiaTheme="minorHAnsi" w:hAnsi="Times New Roman"/>
          <w:sz w:val="24"/>
          <w:szCs w:val="24"/>
        </w:rPr>
        <w:t>. decembris” attiecīgajā locījumā ar vārdiem un cipariem “202</w:t>
      </w:r>
      <w:r w:rsidR="00147881">
        <w:rPr>
          <w:rFonts w:ascii="Times New Roman" w:eastAsiaTheme="minorHAnsi" w:hAnsi="Times New Roman"/>
          <w:sz w:val="24"/>
          <w:szCs w:val="24"/>
        </w:rPr>
        <w:t>5</w:t>
      </w:r>
      <w:r w:rsidRPr="0020154D">
        <w:rPr>
          <w:rFonts w:ascii="Times New Roman" w:eastAsiaTheme="minorHAnsi" w:hAnsi="Times New Roman"/>
          <w:sz w:val="24"/>
          <w:szCs w:val="24"/>
        </w:rPr>
        <w:t xml:space="preserve">. gada </w:t>
      </w:r>
      <w:r w:rsidR="005A2E46">
        <w:rPr>
          <w:rFonts w:ascii="Times New Roman" w:eastAsiaTheme="minorHAnsi" w:hAnsi="Times New Roman"/>
          <w:sz w:val="24"/>
          <w:szCs w:val="24"/>
        </w:rPr>
        <w:t>3</w:t>
      </w:r>
      <w:r w:rsidR="00147881">
        <w:rPr>
          <w:rFonts w:ascii="Times New Roman" w:eastAsiaTheme="minorHAnsi" w:hAnsi="Times New Roman"/>
          <w:sz w:val="24"/>
          <w:szCs w:val="24"/>
        </w:rPr>
        <w:t>. janvāris</w:t>
      </w:r>
      <w:r w:rsidRPr="0020154D">
        <w:rPr>
          <w:rFonts w:ascii="Times New Roman" w:eastAsiaTheme="minorHAnsi" w:hAnsi="Times New Roman"/>
          <w:sz w:val="24"/>
          <w:szCs w:val="24"/>
        </w:rPr>
        <w:t>” attiecīgajā locījumā.</w:t>
      </w:r>
    </w:p>
    <w:p w14:paraId="22D60093" w14:textId="77777777" w:rsidR="0020154D" w:rsidRPr="0020154D" w:rsidRDefault="0020154D" w:rsidP="0020154D">
      <w:pPr>
        <w:pStyle w:val="ListParagraph"/>
        <w:ind w:left="567"/>
        <w:rPr>
          <w:rFonts w:ascii="Times New Roman" w:eastAsiaTheme="minorHAnsi" w:hAnsi="Times New Roman"/>
          <w:sz w:val="24"/>
          <w:szCs w:val="24"/>
        </w:rPr>
      </w:pPr>
    </w:p>
    <w:p w14:paraId="2F7A7535" w14:textId="1CDD3382" w:rsidR="00F91804" w:rsidRPr="00B1476D" w:rsidRDefault="00F91804" w:rsidP="00B1476D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B1476D">
        <w:rPr>
          <w:rFonts w:ascii="Times New Roman" w:eastAsiaTheme="minorHAnsi" w:hAnsi="Times New Roman"/>
          <w:sz w:val="24"/>
          <w:szCs w:val="24"/>
        </w:rPr>
        <w:t>Grozīt nolikuma 2.pielikuma “</w:t>
      </w:r>
      <w:r w:rsidR="00BF1C26" w:rsidRPr="00B1476D">
        <w:rPr>
          <w:rFonts w:ascii="Times New Roman" w:eastAsiaTheme="minorHAnsi" w:hAnsi="Times New Roman"/>
          <w:sz w:val="24"/>
          <w:szCs w:val="24"/>
        </w:rPr>
        <w:t>TEHNISKĀ SPECIFIKĀCIJA UN TEHNISKĀ PIEDĀVĀJUMA FORMA</w:t>
      </w:r>
      <w:r w:rsidR="004C2FFD" w:rsidRPr="00B1476D">
        <w:rPr>
          <w:rFonts w:ascii="Times New Roman" w:eastAsiaTheme="minorHAnsi" w:hAnsi="Times New Roman"/>
          <w:sz w:val="24"/>
          <w:szCs w:val="24"/>
        </w:rPr>
        <w:t>” 6.7</w:t>
      </w:r>
      <w:r w:rsidRPr="00B1476D">
        <w:rPr>
          <w:rFonts w:ascii="Times New Roman" w:eastAsiaTheme="minorHAnsi" w:hAnsi="Times New Roman"/>
          <w:sz w:val="24"/>
          <w:szCs w:val="24"/>
        </w:rPr>
        <w:t>. pozīciju no:</w:t>
      </w:r>
    </w:p>
    <w:p w14:paraId="07EF4E45" w14:textId="77777777" w:rsidR="00F91804" w:rsidRPr="00B1476D" w:rsidRDefault="00F91804" w:rsidP="00B1476D">
      <w:pPr>
        <w:ind w:left="360"/>
        <w:rPr>
          <w:rFonts w:eastAsiaTheme="minorHAnsi"/>
          <w:lang w:val="lv-LV"/>
        </w:rPr>
      </w:pP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988"/>
        <w:gridCol w:w="7172"/>
      </w:tblGrid>
      <w:tr w:rsidR="004C2FFD" w:rsidRPr="00B1476D" w14:paraId="7FE29E40" w14:textId="77777777" w:rsidTr="004F002E">
        <w:trPr>
          <w:trHeight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E5805" w14:textId="77777777" w:rsidR="004C2FFD" w:rsidRPr="00B1476D" w:rsidRDefault="004C2FFD" w:rsidP="00B1476D">
            <w:pPr>
              <w:jc w:val="center"/>
              <w:rPr>
                <w:color w:val="000000"/>
                <w:lang w:val="lv-LV" w:eastAsia="lv-LV"/>
              </w:rPr>
            </w:pPr>
            <w:r w:rsidRPr="00B1476D">
              <w:rPr>
                <w:color w:val="000000"/>
                <w:lang w:val="lv-LV"/>
              </w:rPr>
              <w:t>6.7.</w:t>
            </w:r>
          </w:p>
        </w:tc>
        <w:tc>
          <w:tcPr>
            <w:tcW w:w="7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9973" w14:textId="77777777" w:rsidR="004C2FFD" w:rsidRPr="00B1476D" w:rsidRDefault="004C2FFD" w:rsidP="00B1476D">
            <w:pPr>
              <w:rPr>
                <w:color w:val="000000"/>
                <w:lang w:val="lv-LV"/>
              </w:rPr>
            </w:pPr>
            <w:r w:rsidRPr="00B1476D">
              <w:rPr>
                <w:color w:val="000000"/>
                <w:lang w:val="lv-LV"/>
              </w:rPr>
              <w:t>12 v izvads uz strēles gala fiksētās daļas</w:t>
            </w:r>
          </w:p>
        </w:tc>
      </w:tr>
    </w:tbl>
    <w:p w14:paraId="420DE197" w14:textId="47703DB4" w:rsidR="00F91804" w:rsidRPr="00B1476D" w:rsidRDefault="00F91804" w:rsidP="00B1476D">
      <w:pPr>
        <w:ind w:left="567"/>
        <w:rPr>
          <w:lang w:val="lv-LV"/>
        </w:rPr>
      </w:pPr>
      <w:r w:rsidRPr="00B1476D">
        <w:rPr>
          <w:lang w:val="lv-LV"/>
        </w:rPr>
        <w:t>uz:</w:t>
      </w:r>
    </w:p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7180"/>
      </w:tblGrid>
      <w:tr w:rsidR="00D9078F" w:rsidRPr="00B1476D" w14:paraId="5DB8F6F9" w14:textId="77777777" w:rsidTr="0064351A">
        <w:trPr>
          <w:trHeight w:val="288"/>
          <w:jc w:val="center"/>
        </w:trPr>
        <w:tc>
          <w:tcPr>
            <w:tcW w:w="9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5070" w14:textId="77777777" w:rsidR="00D9078F" w:rsidRPr="00B1476D" w:rsidRDefault="00D9078F" w:rsidP="00B1476D">
            <w:pPr>
              <w:jc w:val="center"/>
              <w:rPr>
                <w:color w:val="000000"/>
                <w:lang w:val="lv-LV" w:eastAsia="lv-LV"/>
              </w:rPr>
            </w:pPr>
            <w:r w:rsidRPr="00B1476D">
              <w:rPr>
                <w:color w:val="000000"/>
                <w:lang w:val="lv-LV"/>
              </w:rPr>
              <w:t>6.7.</w:t>
            </w:r>
          </w:p>
        </w:tc>
        <w:tc>
          <w:tcPr>
            <w:tcW w:w="7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5B260" w14:textId="77777777" w:rsidR="00D9078F" w:rsidRPr="00B1476D" w:rsidRDefault="00D9078F" w:rsidP="00B1476D">
            <w:pPr>
              <w:rPr>
                <w:color w:val="000000"/>
                <w:lang w:val="lv-LV"/>
              </w:rPr>
            </w:pPr>
            <w:r w:rsidRPr="00B1476D">
              <w:rPr>
                <w:color w:val="000000"/>
                <w:lang w:val="lv-LV"/>
              </w:rPr>
              <w:t>Izvads uz strēles gala fiksētās daļas (</w:t>
            </w:r>
            <w:r w:rsidRPr="00B1476D">
              <w:rPr>
                <w:lang w:val="lv-LV"/>
              </w:rPr>
              <w:t>izvada voltāžu spriegums atkarīgs no tehnikas sprieguma)</w:t>
            </w:r>
          </w:p>
        </w:tc>
      </w:tr>
    </w:tbl>
    <w:p w14:paraId="0C580E50" w14:textId="77777777" w:rsidR="00F91804" w:rsidRPr="00B1476D" w:rsidRDefault="00F91804" w:rsidP="007A531C">
      <w:pPr>
        <w:tabs>
          <w:tab w:val="left" w:pos="5103"/>
        </w:tabs>
        <w:ind w:right="89"/>
        <w:rPr>
          <w:lang w:val="lv-LV"/>
        </w:rPr>
      </w:pPr>
    </w:p>
    <w:p w14:paraId="36D85E41" w14:textId="5DB19E22" w:rsidR="0064351A" w:rsidRDefault="0064351A" w:rsidP="00B1476D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B1476D">
        <w:rPr>
          <w:rFonts w:ascii="Times New Roman" w:eastAsiaTheme="minorHAnsi" w:hAnsi="Times New Roman"/>
          <w:sz w:val="24"/>
          <w:szCs w:val="24"/>
        </w:rPr>
        <w:t xml:space="preserve">Grozīt nolikuma 2.pielikuma “TEHNISKĀ SPECIFIKĀCIJA UN TEHNISKĀ PIEDĀVĀJUMA FORMA” </w:t>
      </w:r>
      <w:r w:rsidR="00256C7E" w:rsidRPr="00B1476D">
        <w:rPr>
          <w:rFonts w:ascii="Times New Roman" w:eastAsiaTheme="minorHAnsi" w:hAnsi="Times New Roman"/>
          <w:sz w:val="24"/>
          <w:szCs w:val="24"/>
        </w:rPr>
        <w:t>15.13</w:t>
      </w:r>
      <w:r w:rsidRPr="00B1476D">
        <w:rPr>
          <w:rFonts w:ascii="Times New Roman" w:eastAsiaTheme="minorHAnsi" w:hAnsi="Times New Roman"/>
          <w:sz w:val="24"/>
          <w:szCs w:val="24"/>
        </w:rPr>
        <w:t>. pozīciju no:</w:t>
      </w:r>
    </w:p>
    <w:p w14:paraId="2F994A72" w14:textId="77777777" w:rsidR="00B1476D" w:rsidRPr="00B1476D" w:rsidRDefault="00B1476D" w:rsidP="00B1476D">
      <w:pPr>
        <w:pStyle w:val="ListParagraph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172"/>
      </w:tblGrid>
      <w:tr w:rsidR="00256C7E" w:rsidRPr="00B1476D" w14:paraId="4AA817EE" w14:textId="77777777" w:rsidTr="00B1476D">
        <w:trPr>
          <w:trHeight w:val="2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39918C0" w14:textId="77777777" w:rsidR="00256C7E" w:rsidRPr="00B1476D" w:rsidRDefault="00256C7E" w:rsidP="00B1476D">
            <w:pPr>
              <w:jc w:val="center"/>
              <w:rPr>
                <w:color w:val="000000"/>
                <w:lang w:val="lv-LV" w:eastAsia="lv-LV"/>
              </w:rPr>
            </w:pPr>
            <w:r w:rsidRPr="00B1476D">
              <w:rPr>
                <w:color w:val="000000"/>
                <w:lang w:val="lv-LV"/>
              </w:rPr>
              <w:t>15.13.</w:t>
            </w:r>
          </w:p>
        </w:tc>
        <w:tc>
          <w:tcPr>
            <w:tcW w:w="7172" w:type="dxa"/>
            <w:shd w:val="clear" w:color="auto" w:fill="auto"/>
            <w:hideMark/>
          </w:tcPr>
          <w:p w14:paraId="0357641B" w14:textId="77777777" w:rsidR="00256C7E" w:rsidRPr="00B1476D" w:rsidRDefault="00256C7E" w:rsidP="00B1476D">
            <w:pPr>
              <w:rPr>
                <w:color w:val="000000"/>
                <w:lang w:val="lv-LV"/>
              </w:rPr>
            </w:pPr>
            <w:r w:rsidRPr="00B1476D">
              <w:rPr>
                <w:color w:val="000000"/>
                <w:lang w:val="lv-LV"/>
              </w:rPr>
              <w:t>Iekrāvēja strēles vadība no groza</w:t>
            </w:r>
          </w:p>
        </w:tc>
      </w:tr>
    </w:tbl>
    <w:p w14:paraId="2929CCC2" w14:textId="742F5C9C" w:rsidR="00F91804" w:rsidRPr="00B1476D" w:rsidRDefault="00256C7E" w:rsidP="00B1476D">
      <w:pPr>
        <w:pStyle w:val="ListParagraph"/>
        <w:tabs>
          <w:tab w:val="left" w:pos="5103"/>
        </w:tabs>
        <w:spacing w:after="0" w:line="240" w:lineRule="auto"/>
        <w:ind w:left="567" w:right="89"/>
        <w:rPr>
          <w:rFonts w:ascii="Times New Roman" w:hAnsi="Times New Roman"/>
          <w:sz w:val="24"/>
          <w:szCs w:val="24"/>
        </w:rPr>
      </w:pPr>
      <w:r w:rsidRPr="00B1476D">
        <w:rPr>
          <w:rFonts w:ascii="Times New Roman" w:hAnsi="Times New Roman"/>
          <w:sz w:val="24"/>
          <w:szCs w:val="24"/>
        </w:rPr>
        <w:t>uz:</w:t>
      </w:r>
    </w:p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7180"/>
      </w:tblGrid>
      <w:tr w:rsidR="00B1476D" w:rsidRPr="00B1476D" w14:paraId="1CA2F484" w14:textId="77777777" w:rsidTr="00B1476D">
        <w:trPr>
          <w:trHeight w:val="288"/>
          <w:jc w:val="center"/>
        </w:trPr>
        <w:tc>
          <w:tcPr>
            <w:tcW w:w="9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3FA7" w14:textId="77777777" w:rsidR="00B1476D" w:rsidRPr="00B1476D" w:rsidRDefault="00B1476D" w:rsidP="00B1476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1476D">
              <w:rPr>
                <w:color w:val="000000"/>
                <w:lang w:val="lv-LV"/>
              </w:rPr>
              <w:t>15.13.</w:t>
            </w:r>
          </w:p>
        </w:tc>
        <w:tc>
          <w:tcPr>
            <w:tcW w:w="7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F196" w14:textId="77777777" w:rsidR="00B1476D" w:rsidRPr="00B1476D" w:rsidRDefault="00B1476D" w:rsidP="00B1476D">
            <w:pPr>
              <w:rPr>
                <w:color w:val="000000"/>
                <w:lang w:val="lv-LV"/>
              </w:rPr>
            </w:pPr>
            <w:r w:rsidRPr="00B1476D">
              <w:rPr>
                <w:lang w:val="lv-LV"/>
              </w:rPr>
              <w:t>Iekrāvēja strēles vadība no groza ar tajā integrētu vadības pulti vai radio kontroles vadība ar brīvi pārvietojamu vadības pulti</w:t>
            </w:r>
          </w:p>
        </w:tc>
      </w:tr>
    </w:tbl>
    <w:p w14:paraId="555C3B87" w14:textId="77777777" w:rsidR="00B1476D" w:rsidRDefault="00B1476D" w:rsidP="00B1476D">
      <w:pPr>
        <w:pStyle w:val="ListParagraph"/>
        <w:tabs>
          <w:tab w:val="left" w:pos="5103"/>
        </w:tabs>
        <w:spacing w:after="0" w:line="240" w:lineRule="auto"/>
        <w:ind w:left="567" w:right="89"/>
        <w:rPr>
          <w:rFonts w:ascii="Times New Roman" w:hAnsi="Times New Roman"/>
          <w:sz w:val="24"/>
          <w:szCs w:val="24"/>
        </w:rPr>
      </w:pPr>
    </w:p>
    <w:p w14:paraId="123C0DCC" w14:textId="77777777" w:rsidR="00B1476D" w:rsidRPr="00B1476D" w:rsidRDefault="00B1476D" w:rsidP="00B1476D">
      <w:pPr>
        <w:pStyle w:val="ListParagraph"/>
        <w:tabs>
          <w:tab w:val="left" w:pos="5103"/>
        </w:tabs>
        <w:spacing w:after="0" w:line="240" w:lineRule="auto"/>
        <w:ind w:left="567" w:right="89"/>
        <w:rPr>
          <w:rFonts w:ascii="Times New Roman" w:hAnsi="Times New Roman"/>
          <w:sz w:val="24"/>
          <w:szCs w:val="24"/>
        </w:rPr>
      </w:pPr>
    </w:p>
    <w:p w14:paraId="43A10312" w14:textId="77777777" w:rsidR="00F91804" w:rsidRPr="00B1476D" w:rsidRDefault="00F91804" w:rsidP="00B1476D">
      <w:pPr>
        <w:tabs>
          <w:tab w:val="left" w:pos="5103"/>
        </w:tabs>
        <w:ind w:right="89" w:hanging="142"/>
        <w:rPr>
          <w:lang w:val="lv-LV"/>
        </w:rPr>
      </w:pPr>
      <w:r w:rsidRPr="00B1476D">
        <w:rPr>
          <w:lang w:val="lv-LV"/>
        </w:rPr>
        <w:t xml:space="preserve">Iepirkumu komisijas priekšsēdētāja                                                             </w:t>
      </w:r>
      <w:r w:rsidRPr="00B1476D">
        <w:rPr>
          <w:lang w:val="lv-LV"/>
        </w:rPr>
        <w:tab/>
        <w:t xml:space="preserve"> K.Meiberga</w:t>
      </w:r>
    </w:p>
    <w:p w14:paraId="12FFA627" w14:textId="77777777" w:rsidR="00F91804" w:rsidRPr="00B1476D" w:rsidRDefault="00F91804" w:rsidP="00B1476D">
      <w:pPr>
        <w:rPr>
          <w:lang w:val="lv-LV"/>
        </w:rPr>
      </w:pPr>
    </w:p>
    <w:p w14:paraId="7495ED1F" w14:textId="77777777" w:rsidR="00F91804" w:rsidRPr="00B1476D" w:rsidRDefault="00F91804" w:rsidP="00B1476D">
      <w:pPr>
        <w:rPr>
          <w:lang w:val="lv-LV"/>
        </w:rPr>
      </w:pPr>
    </w:p>
    <w:p w14:paraId="36B6BEFD" w14:textId="77777777" w:rsidR="00F91804" w:rsidRPr="00B1476D" w:rsidRDefault="00F91804" w:rsidP="00B1476D">
      <w:pPr>
        <w:rPr>
          <w:lang w:val="lv-LV"/>
        </w:rPr>
      </w:pPr>
    </w:p>
    <w:p w14:paraId="1BC9CC26" w14:textId="77777777" w:rsidR="00F91804" w:rsidRPr="00B1476D" w:rsidRDefault="00F91804" w:rsidP="00B1476D">
      <w:pPr>
        <w:rPr>
          <w:lang w:val="lv-LV"/>
        </w:rPr>
      </w:pPr>
    </w:p>
    <w:p w14:paraId="27A99849" w14:textId="77777777" w:rsidR="00F91804" w:rsidRPr="00B1476D" w:rsidRDefault="00F91804" w:rsidP="00B1476D">
      <w:pPr>
        <w:rPr>
          <w:lang w:val="lv-LV"/>
        </w:rPr>
      </w:pPr>
    </w:p>
    <w:p w14:paraId="2EE61468" w14:textId="26660D9A" w:rsidR="00AD6E80" w:rsidRPr="00B1476D" w:rsidRDefault="00AD6E80" w:rsidP="00B1476D">
      <w:pPr>
        <w:rPr>
          <w:lang w:val="lv-LV"/>
        </w:rPr>
      </w:pPr>
    </w:p>
    <w:sectPr w:rsidR="00AD6E80" w:rsidRPr="00B1476D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34C463A3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02F3B"/>
    <w:multiLevelType w:val="hybridMultilevel"/>
    <w:tmpl w:val="E05EF9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E363C"/>
    <w:multiLevelType w:val="hybridMultilevel"/>
    <w:tmpl w:val="E05EF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34F9C"/>
    <w:multiLevelType w:val="hybridMultilevel"/>
    <w:tmpl w:val="A720F1A6"/>
    <w:lvl w:ilvl="0" w:tplc="3F0E7A6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4"/>
  </w:num>
  <w:num w:numId="4" w16cid:durableId="2129002943">
    <w:abstractNumId w:val="5"/>
  </w:num>
  <w:num w:numId="5" w16cid:durableId="271783956">
    <w:abstractNumId w:val="2"/>
  </w:num>
  <w:num w:numId="6" w16cid:durableId="1226258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96ADA"/>
    <w:rsid w:val="00147881"/>
    <w:rsid w:val="00176AEB"/>
    <w:rsid w:val="001B000D"/>
    <w:rsid w:val="001C1098"/>
    <w:rsid w:val="001D43D0"/>
    <w:rsid w:val="0020154D"/>
    <w:rsid w:val="00233FCE"/>
    <w:rsid w:val="00256C7E"/>
    <w:rsid w:val="00280FA8"/>
    <w:rsid w:val="002B2D10"/>
    <w:rsid w:val="002E0214"/>
    <w:rsid w:val="002E786C"/>
    <w:rsid w:val="00325A6F"/>
    <w:rsid w:val="003809BD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2FFD"/>
    <w:rsid w:val="004C4EA1"/>
    <w:rsid w:val="004F002E"/>
    <w:rsid w:val="004F581B"/>
    <w:rsid w:val="0054525F"/>
    <w:rsid w:val="005A2E46"/>
    <w:rsid w:val="005D3F37"/>
    <w:rsid w:val="00611305"/>
    <w:rsid w:val="006339F1"/>
    <w:rsid w:val="0064351A"/>
    <w:rsid w:val="00681D93"/>
    <w:rsid w:val="006874A7"/>
    <w:rsid w:val="00697421"/>
    <w:rsid w:val="00697660"/>
    <w:rsid w:val="006A672C"/>
    <w:rsid w:val="006F47FC"/>
    <w:rsid w:val="00712459"/>
    <w:rsid w:val="00756CAE"/>
    <w:rsid w:val="007857EA"/>
    <w:rsid w:val="007875D1"/>
    <w:rsid w:val="007A34BE"/>
    <w:rsid w:val="007A531C"/>
    <w:rsid w:val="007D62F7"/>
    <w:rsid w:val="008034ED"/>
    <w:rsid w:val="00832355"/>
    <w:rsid w:val="008533C8"/>
    <w:rsid w:val="008B3CD9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C42B2"/>
    <w:rsid w:val="00AD6E80"/>
    <w:rsid w:val="00B1476D"/>
    <w:rsid w:val="00B17037"/>
    <w:rsid w:val="00B67B48"/>
    <w:rsid w:val="00BA1D4B"/>
    <w:rsid w:val="00BF1C26"/>
    <w:rsid w:val="00C2117D"/>
    <w:rsid w:val="00C81285"/>
    <w:rsid w:val="00C84969"/>
    <w:rsid w:val="00C950CD"/>
    <w:rsid w:val="00C96B4F"/>
    <w:rsid w:val="00CA73ED"/>
    <w:rsid w:val="00D43D83"/>
    <w:rsid w:val="00D81F1C"/>
    <w:rsid w:val="00D86507"/>
    <w:rsid w:val="00D9078F"/>
    <w:rsid w:val="00DA0C26"/>
    <w:rsid w:val="00DC6352"/>
    <w:rsid w:val="00DD32DC"/>
    <w:rsid w:val="00E3203C"/>
    <w:rsid w:val="00EB089E"/>
    <w:rsid w:val="00EC4F68"/>
    <w:rsid w:val="00EE15BF"/>
    <w:rsid w:val="00F01C15"/>
    <w:rsid w:val="00F213A8"/>
    <w:rsid w:val="00F527AA"/>
    <w:rsid w:val="00F631D4"/>
    <w:rsid w:val="00F83C9D"/>
    <w:rsid w:val="00F84DED"/>
    <w:rsid w:val="00F91804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uiPriority w:val="39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F918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F91804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D7E7DC51-D832-4D57-B6BA-30192E331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21</cp:revision>
  <cp:lastPrinted>2021-09-09T02:05:00Z</cp:lastPrinted>
  <dcterms:created xsi:type="dcterms:W3CDTF">2024-12-13T09:19:00Z</dcterms:created>
  <dcterms:modified xsi:type="dcterms:W3CDTF">2024-12-14T09:15:00Z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