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D5A96" w14:textId="33CA7153" w:rsidR="00D94C3F" w:rsidRPr="00077E6B" w:rsidRDefault="00C75986" w:rsidP="00077E6B">
      <w:pPr>
        <w:jc w:val="center"/>
        <w:rPr>
          <w:rFonts w:ascii="Times New Roman" w:hAnsi="Times New Roman" w:cs="Times New Roman"/>
          <w:b/>
          <w:bCs/>
          <w:sz w:val="24"/>
          <w:szCs w:val="24"/>
        </w:rPr>
      </w:pPr>
      <w:r w:rsidRPr="00F374F1">
        <w:rPr>
          <w:rFonts w:ascii="Times New Roman" w:hAnsi="Times New Roman" w:cs="Times New Roman"/>
          <w:b/>
          <w:bCs/>
          <w:sz w:val="24"/>
          <w:szCs w:val="24"/>
        </w:rPr>
        <w:t>TIRGUS IZPĒTE</w:t>
      </w:r>
    </w:p>
    <w:p w14:paraId="6BA14998" w14:textId="754C983D" w:rsidR="00D94C3F" w:rsidRPr="00D94C3F" w:rsidRDefault="00D94C3F" w:rsidP="00D94C3F">
      <w:pPr>
        <w:spacing w:after="0"/>
        <w:jc w:val="center"/>
        <w:rPr>
          <w:sz w:val="26"/>
          <w:szCs w:val="26"/>
        </w:rPr>
      </w:pPr>
      <w:r w:rsidRPr="00D94C3F">
        <w:rPr>
          <w:rFonts w:ascii="Times New Roman" w:eastAsia="Times New Roman" w:hAnsi="Times New Roman" w:cs="Times New Roman"/>
          <w:b/>
          <w:bCs/>
          <w:sz w:val="26"/>
          <w:szCs w:val="26"/>
        </w:rPr>
        <w:t>Elektrotransporta (vieglo transportlīdzekļu un autobusu) uzlādes iekārtu vadības un monitoringa sistēmas izstrāde, piegāde, uzturēšana</w:t>
      </w:r>
    </w:p>
    <w:p w14:paraId="503F3339" w14:textId="77777777" w:rsidR="00D94C3F" w:rsidRDefault="00D94C3F" w:rsidP="00963BE8">
      <w:pPr>
        <w:jc w:val="center"/>
        <w:rPr>
          <w:rFonts w:ascii="Times New Roman" w:hAnsi="Times New Roman" w:cs="Times New Roman"/>
          <w:sz w:val="24"/>
          <w:szCs w:val="24"/>
        </w:rPr>
      </w:pPr>
    </w:p>
    <w:p w14:paraId="01717476" w14:textId="25913F89" w:rsidR="00F374F1" w:rsidRPr="00963BE8" w:rsidRDefault="00C75986" w:rsidP="00963BE8">
      <w:pPr>
        <w:jc w:val="center"/>
        <w:rPr>
          <w:rFonts w:ascii="Times New Roman" w:hAnsi="Times New Roman" w:cs="Times New Roman"/>
          <w:sz w:val="24"/>
          <w:szCs w:val="24"/>
        </w:rPr>
      </w:pPr>
      <w:r w:rsidRPr="00F374F1">
        <w:rPr>
          <w:rFonts w:ascii="Times New Roman" w:hAnsi="Times New Roman" w:cs="Times New Roman"/>
          <w:sz w:val="24"/>
          <w:szCs w:val="24"/>
        </w:rPr>
        <w:t>JAUTĀJUMI UN ATBILDES</w:t>
      </w:r>
      <w:r w:rsidR="00963BE8">
        <w:rPr>
          <w:rFonts w:ascii="Times New Roman" w:hAnsi="Times New Roman" w:cs="Times New Roman"/>
          <w:sz w:val="24"/>
          <w:szCs w:val="24"/>
        </w:rPr>
        <w:t xml:space="preserve"> </w:t>
      </w:r>
      <w:r w:rsidR="00963BE8" w:rsidRPr="00963BE8">
        <w:rPr>
          <w:rFonts w:ascii="Times New Roman" w:hAnsi="Times New Roman" w:cs="Times New Roman"/>
          <w:sz w:val="24"/>
          <w:szCs w:val="24"/>
        </w:rPr>
        <w:t>(</w:t>
      </w:r>
      <w:r w:rsidR="00D94C3F">
        <w:rPr>
          <w:rFonts w:ascii="Times New Roman" w:hAnsi="Times New Roman" w:cs="Times New Roman"/>
          <w:sz w:val="24"/>
          <w:szCs w:val="24"/>
        </w:rPr>
        <w:t>18.12.2024.</w:t>
      </w:r>
      <w:r w:rsidR="00963BE8" w:rsidRPr="00963BE8">
        <w:rPr>
          <w:rFonts w:ascii="Times New Roman" w:hAnsi="Times New Roman" w:cs="Times New Roman"/>
          <w:sz w:val="24"/>
          <w:szCs w:val="24"/>
        </w:rPr>
        <w:t>)</w:t>
      </w:r>
      <w:r w:rsidR="00963BE8">
        <w:rPr>
          <w:rFonts w:ascii="Times New Roman" w:hAnsi="Times New Roman" w:cs="Times New Roman"/>
          <w:sz w:val="24"/>
          <w:szCs w:val="24"/>
        </w:rPr>
        <w:t xml:space="preserve"> </w:t>
      </w:r>
    </w:p>
    <w:p w14:paraId="5B26F377" w14:textId="5F454346" w:rsidR="00963BE8" w:rsidRPr="00506994" w:rsidRDefault="00963BE8" w:rsidP="001A7C7E">
      <w:pPr>
        <w:rPr>
          <w:rFonts w:ascii="Times New Roman" w:hAnsi="Times New Roman" w:cs="Times New Roman"/>
          <w:i/>
          <w:iCs/>
        </w:rPr>
      </w:pPr>
      <w:r w:rsidRPr="00506994">
        <w:rPr>
          <w:rFonts w:ascii="Times New Roman" w:hAnsi="Times New Roman" w:cs="Times New Roman"/>
          <w:i/>
          <w:iCs/>
        </w:rPr>
        <w:t>“*”- *Saglabāts jautājumu oriģinālteksts</w:t>
      </w:r>
    </w:p>
    <w:tbl>
      <w:tblPr>
        <w:tblW w:w="9781" w:type="dxa"/>
        <w:tblInd w:w="-152" w:type="dxa"/>
        <w:tblCellMar>
          <w:left w:w="0" w:type="dxa"/>
          <w:right w:w="0" w:type="dxa"/>
        </w:tblCellMar>
        <w:tblLook w:val="04A0" w:firstRow="1" w:lastRow="0" w:firstColumn="1" w:lastColumn="0" w:noHBand="0" w:noVBand="1"/>
      </w:tblPr>
      <w:tblGrid>
        <w:gridCol w:w="5103"/>
        <w:gridCol w:w="4678"/>
      </w:tblGrid>
      <w:tr w:rsidR="00F374F1" w:rsidRPr="00506994" w14:paraId="5DF2381C" w14:textId="77777777" w:rsidTr="00D94C3F">
        <w:trPr>
          <w:trHeight w:val="276"/>
        </w:trPr>
        <w:tc>
          <w:tcPr>
            <w:tcW w:w="5103"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39A34A5A" w14:textId="079FAA37" w:rsidR="00F374F1" w:rsidRPr="00506994" w:rsidRDefault="00F374F1" w:rsidP="00F374F1">
            <w:pPr>
              <w:pStyle w:val="NormalWeb"/>
              <w:rPr>
                <w:rFonts w:ascii="Times New Roman" w:hAnsi="Times New Roman" w:cs="Times New Roman"/>
              </w:rPr>
            </w:pPr>
            <w:r w:rsidRPr="00506994">
              <w:rPr>
                <w:rFonts w:ascii="Times New Roman" w:hAnsi="Times New Roman" w:cs="Times New Roman"/>
                <w:b/>
                <w:bCs/>
              </w:rPr>
              <w:t>Pretendenta jautājums</w:t>
            </w:r>
            <w:r w:rsidR="00384EB8" w:rsidRPr="00506994">
              <w:rPr>
                <w:rFonts w:ascii="Times New Roman" w:hAnsi="Times New Roman" w:cs="Times New Roman"/>
                <w:b/>
                <w:bCs/>
              </w:rPr>
              <w:t>*</w:t>
            </w:r>
          </w:p>
        </w:tc>
        <w:tc>
          <w:tcPr>
            <w:tcW w:w="467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48682221" w14:textId="27D179D0" w:rsidR="00F374F1" w:rsidRPr="00506994" w:rsidRDefault="00F374F1" w:rsidP="00F374F1">
            <w:pPr>
              <w:pStyle w:val="NormalWeb"/>
              <w:rPr>
                <w:rFonts w:ascii="Times New Roman" w:hAnsi="Times New Roman" w:cs="Times New Roman"/>
              </w:rPr>
            </w:pPr>
            <w:r w:rsidRPr="00506994">
              <w:rPr>
                <w:rFonts w:ascii="Times New Roman" w:hAnsi="Times New Roman" w:cs="Times New Roman"/>
                <w:b/>
                <w:bCs/>
              </w:rPr>
              <w:t>Pasūtītāja atbilde</w:t>
            </w:r>
          </w:p>
        </w:tc>
      </w:tr>
      <w:tr w:rsidR="00D94C3F" w:rsidRPr="00506994" w14:paraId="1BEE0A38" w14:textId="77777777" w:rsidTr="00D94C3F">
        <w:trPr>
          <w:trHeight w:val="540"/>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FFC3F8" w14:textId="77777777" w:rsidR="00D94C3F" w:rsidRPr="00D94C3F" w:rsidRDefault="00D94C3F" w:rsidP="00D94C3F">
            <w:pPr>
              <w:pStyle w:val="NormalWeb"/>
              <w:rPr>
                <w:rFonts w:ascii="Times New Roman" w:hAnsi="Times New Roman" w:cs="Times New Roman"/>
                <w:sz w:val="24"/>
                <w:szCs w:val="24"/>
              </w:rPr>
            </w:pPr>
            <w:r w:rsidRPr="00D94C3F">
              <w:rPr>
                <w:rFonts w:ascii="Times New Roman" w:hAnsi="Times New Roman" w:cs="Times New Roman"/>
                <w:sz w:val="24"/>
                <w:szCs w:val="24"/>
              </w:rPr>
              <w:t>1. Vai  Rīgas Satiksme tirgus izpētē pieļauj starptautiski atzītu sistēmu ražotāju piedāvātās sistēmas, ja tie ir mākoņrisinājumi un pieeja tām ir organizēta caur interneta pārlūku? Tehniskajā specifikācijā ir prasība 1.1.1.3. Sistēmas uzstādīšana Pasūtītāja infrastruktūrā savukārt 1.4 punkts paredz, ka Sistēma pāriet Pasūtītāja īpašumā - nosacijumi, kas nebūtu iespējami mākoņpakalpojuma gadījumā.</w:t>
            </w:r>
          </w:p>
          <w:p w14:paraId="305F6822" w14:textId="700DEBDD" w:rsidR="00D94C3F" w:rsidRPr="00D94C3F" w:rsidRDefault="00D94C3F" w:rsidP="00D94C3F">
            <w:pPr>
              <w:pStyle w:val="elementtoproof"/>
              <w:spacing w:before="120"/>
              <w:contextualSpacing/>
              <w:rPr>
                <w:rFonts w:ascii="Times New Roman" w:hAnsi="Times New Roman" w:cs="Times New Roman"/>
                <w:sz w:val="24"/>
                <w:szCs w:val="24"/>
              </w:rPr>
            </w:pPr>
            <w:r w:rsidRPr="00D94C3F">
              <w:rPr>
                <w:rFonts w:ascii="Times New Roman" w:hAnsi="Times New Roman" w:cs="Times New Roman"/>
                <w:sz w:val="24"/>
                <w:szCs w:val="24"/>
              </w:rPr>
              <w:t>Vēlamies norādīt, ka jau gatavas sistēmas izmantošana ļautu to pieslēgt ievērojami ātrāk, nekā prasītajos 6 mēnešos (piem. - 1 mēnesī).</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72AB1A6" w14:textId="251ED9A8" w:rsidR="00D94C3F" w:rsidRPr="00D94C3F" w:rsidRDefault="00D94C3F" w:rsidP="00D94C3F">
            <w:pPr>
              <w:pStyle w:val="elementtoproof"/>
              <w:spacing w:before="120"/>
              <w:contextualSpacing/>
              <w:rPr>
                <w:rFonts w:ascii="Times New Roman" w:hAnsi="Times New Roman" w:cs="Times New Roman"/>
                <w:sz w:val="24"/>
                <w:szCs w:val="24"/>
              </w:rPr>
            </w:pPr>
            <w:r w:rsidRPr="00D94C3F">
              <w:rPr>
                <w:rFonts w:ascii="Times New Roman" w:hAnsi="Times New Roman" w:cs="Times New Roman"/>
                <w:sz w:val="24"/>
                <w:szCs w:val="24"/>
                <w:lang w:eastAsia="en-US"/>
              </w:rPr>
              <w:t>Nē, sistēmu paredzēts uzstādīt mūsu infrastruktūrā, mākoņpakalpojumi nav pieļaujami dēļ kiberdrošības, to nosaka arī Tehniskās specifikācijas punkts “2.10.6. Sistēmai jādarbojas Pasūtītāja iekšējā tīklā bez piekļuves publiskam tīklam, jāveic Sistēmas konfigurācija atbilstoši Pasūtītāja tīkla iestatījumiem.”</w:t>
            </w:r>
          </w:p>
        </w:tc>
      </w:tr>
      <w:tr w:rsidR="00D94C3F" w:rsidRPr="00506994" w14:paraId="7E201FA2" w14:textId="77777777" w:rsidTr="00D94C3F">
        <w:trPr>
          <w:trHeight w:val="276"/>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0AC2D0" w14:textId="611E7757" w:rsidR="00D94C3F" w:rsidRPr="00D94C3F" w:rsidRDefault="00D94C3F" w:rsidP="00D94C3F">
            <w:pPr>
              <w:pStyle w:val="elementtoproof"/>
              <w:spacing w:before="120"/>
              <w:contextualSpacing/>
              <w:rPr>
                <w:rFonts w:ascii="Times New Roman" w:hAnsi="Times New Roman" w:cs="Times New Roman"/>
                <w:sz w:val="24"/>
                <w:szCs w:val="24"/>
              </w:rPr>
            </w:pPr>
            <w:r w:rsidRPr="00D94C3F">
              <w:rPr>
                <w:rFonts w:ascii="Times New Roman" w:hAnsi="Times New Roman" w:cs="Times New Roman"/>
                <w:sz w:val="24"/>
                <w:szCs w:val="24"/>
              </w:rPr>
              <w:t>2. Vai līguma izpildes laikā staciju skaits var mainīties un kāds ir to maksimālais skaits? Patreizējās piedāvātās norēķinu shēmas neparedz izmaksu piesaistīšanu apkalpojamo staciju skaitam, kas ir parastais norēķinu modelis šādu sistēmu / pakalpojumu nodrošinātājiem papildus sistēmas ieviešanas izmaksām.</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5E06F71" w14:textId="2B90D6DA" w:rsidR="00D94C3F" w:rsidRPr="00D94C3F" w:rsidRDefault="00D94C3F" w:rsidP="00D94C3F">
            <w:pPr>
              <w:pStyle w:val="elementtoproof"/>
              <w:spacing w:before="120"/>
              <w:contextualSpacing/>
              <w:rPr>
                <w:rFonts w:ascii="Times New Roman" w:hAnsi="Times New Roman" w:cs="Times New Roman"/>
                <w:sz w:val="24"/>
                <w:szCs w:val="24"/>
              </w:rPr>
            </w:pPr>
            <w:r w:rsidRPr="00D94C3F">
              <w:rPr>
                <w:rFonts w:ascii="Times New Roman" w:hAnsi="Times New Roman" w:cs="Times New Roman"/>
                <w:sz w:val="24"/>
                <w:szCs w:val="24"/>
                <w:lang w:eastAsia="en-US"/>
              </w:rPr>
              <w:t>Jā, līguma izpildes laikā pieslēdzamo iekārtu skaits var mainīties, maksimālais skaits šobrīd nav zināms. Punkts nosaka, ka “2.1.4. Pretendents nodrošina, ka Sistēmai var pieslēgt neierobežota skaita uzlādes iekārtas, kas atbalsta atvērto uzlādes punktu protokolu OCPP 1.6 vai jaunāku, nodrošinot, ka uzlādes iekārtu pieslēgšanu arī var veikt Pasūtītājs atbilstoši sistēmas instrukcijām”. Un savukārt Finanšu piedāvājumā punkts 4.4. nosaka, ka “Izmaksas par Pretendenta veiktajiem uzlādes iekārtu pieslēgšanas darbiem Sistēmai līguma darbības laikā. Pretendents norāda maksu, ja tāda tiek piemērota. Šeit Pretendents norāda tikai tās pieslēgšanas izmaksas iekārtām, kas nav norādītas Tehniskās specifikācijas 2.1.1.punktā.”</w:t>
            </w:r>
          </w:p>
        </w:tc>
      </w:tr>
    </w:tbl>
    <w:p w14:paraId="524B8D00" w14:textId="77777777" w:rsidR="00D94C3F" w:rsidRDefault="00653740" w:rsidP="00506994">
      <w:pPr>
        <w:spacing w:after="0" w:line="276" w:lineRule="auto"/>
        <w:ind w:right="-382"/>
        <w:jc w:val="both"/>
        <w:outlineLvl w:val="0"/>
        <w:rPr>
          <w:rFonts w:ascii="Times New Roman" w:hAnsi="Times New Roman" w:cs="Times New Roman"/>
          <w:i/>
          <w:iCs/>
          <w:sz w:val="20"/>
          <w:szCs w:val="20"/>
        </w:rPr>
      </w:pPr>
      <w:r w:rsidRPr="00506994">
        <w:rPr>
          <w:rFonts w:ascii="Times New Roman" w:hAnsi="Times New Roman" w:cs="Times New Roman"/>
          <w:i/>
          <w:iCs/>
          <w:sz w:val="20"/>
          <w:szCs w:val="20"/>
        </w:rPr>
        <w:t xml:space="preserve">Atbildi sagatavoja: </w:t>
      </w:r>
      <w:r w:rsidR="00D94C3F">
        <w:rPr>
          <w:rFonts w:ascii="Times New Roman" w:hAnsi="Times New Roman" w:cs="Times New Roman"/>
          <w:i/>
          <w:iCs/>
          <w:sz w:val="20"/>
          <w:szCs w:val="20"/>
        </w:rPr>
        <w:t>Sandijs Ikaunieks</w:t>
      </w:r>
      <w:r w:rsidR="00C75986" w:rsidRPr="00506994">
        <w:rPr>
          <w:rFonts w:ascii="Times New Roman" w:hAnsi="Times New Roman" w:cs="Times New Roman"/>
          <w:i/>
          <w:iCs/>
          <w:sz w:val="20"/>
          <w:szCs w:val="20"/>
        </w:rPr>
        <w:t>, Informācijas sistēmu daļas IT projektu vadītāja</w:t>
      </w:r>
      <w:r w:rsidR="00506994">
        <w:rPr>
          <w:rFonts w:ascii="Times New Roman" w:hAnsi="Times New Roman" w:cs="Times New Roman"/>
          <w:i/>
          <w:iCs/>
          <w:sz w:val="20"/>
          <w:szCs w:val="20"/>
        </w:rPr>
        <w:t xml:space="preserve"> un </w:t>
      </w:r>
    </w:p>
    <w:p w14:paraId="5BF8C7C1" w14:textId="309EAC7A" w:rsidR="00D22202" w:rsidRPr="00506994" w:rsidRDefault="00E67EEC" w:rsidP="00D94C3F">
      <w:pPr>
        <w:spacing w:after="0" w:line="276" w:lineRule="auto"/>
        <w:jc w:val="both"/>
        <w:outlineLvl w:val="0"/>
        <w:rPr>
          <w:rFonts w:ascii="Times New Roman" w:hAnsi="Times New Roman" w:cs="Times New Roman"/>
          <w:i/>
          <w:iCs/>
          <w:sz w:val="20"/>
          <w:szCs w:val="20"/>
        </w:rPr>
      </w:pPr>
      <w:r w:rsidRPr="00506994">
        <w:rPr>
          <w:rFonts w:ascii="Times New Roman" w:hAnsi="Times New Roman" w:cs="Times New Roman"/>
          <w:i/>
          <w:iCs/>
          <w:sz w:val="20"/>
          <w:szCs w:val="20"/>
          <w:lang w:eastAsia="lv-LV"/>
          <w14:ligatures w14:val="none"/>
        </w:rPr>
        <w:t xml:space="preserve">Astra Bērziņa, </w:t>
      </w:r>
      <w:r w:rsidRPr="00506994">
        <w:rPr>
          <w:rFonts w:ascii="Times New Roman" w:hAnsi="Times New Roman" w:cs="Times New Roman"/>
          <w:i/>
          <w:iCs/>
          <w:sz w:val="20"/>
          <w:szCs w:val="20"/>
        </w:rPr>
        <w:t>Iepirkumu un līgumu pārvaldības daļas</w:t>
      </w:r>
      <w:proofErr w:type="gramStart"/>
      <w:r w:rsidRPr="00506994">
        <w:rPr>
          <w:rFonts w:ascii="Times New Roman" w:hAnsi="Times New Roman" w:cs="Times New Roman"/>
          <w:i/>
          <w:iCs/>
          <w:sz w:val="20"/>
          <w:szCs w:val="20"/>
        </w:rPr>
        <w:t xml:space="preserve">  </w:t>
      </w:r>
      <w:proofErr w:type="gramEnd"/>
      <w:r w:rsidRPr="00506994">
        <w:rPr>
          <w:rFonts w:ascii="Times New Roman" w:hAnsi="Times New Roman" w:cs="Times New Roman"/>
          <w:i/>
          <w:iCs/>
          <w:sz w:val="20"/>
          <w:szCs w:val="20"/>
          <w:lang w:eastAsia="lv-LV"/>
          <w14:ligatures w14:val="none"/>
        </w:rPr>
        <w:t>Tirgus izpētes un iepirkumu metodoloģijas nodaļas</w:t>
      </w:r>
      <w:r w:rsidRPr="00506994">
        <w:rPr>
          <w:rFonts w:ascii="Times New Roman" w:hAnsi="Times New Roman" w:cs="Times New Roman"/>
          <w:i/>
          <w:iCs/>
          <w:sz w:val="20"/>
          <w:szCs w:val="20"/>
          <w14:ligatures w14:val="none"/>
        </w:rPr>
        <w:t xml:space="preserve"> iepirkumu speciāliste.</w:t>
      </w:r>
    </w:p>
    <w:sectPr w:rsidR="00D22202" w:rsidRPr="00506994" w:rsidSect="00077E6B">
      <w:pgSz w:w="11906" w:h="16838"/>
      <w:pgMar w:top="1418" w:right="991"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85237"/>
    <w:multiLevelType w:val="hybridMultilevel"/>
    <w:tmpl w:val="47F62292"/>
    <w:lvl w:ilvl="0" w:tplc="BED0C438">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79503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CC"/>
    <w:rsid w:val="00077E6B"/>
    <w:rsid w:val="000C1E41"/>
    <w:rsid w:val="001A7C7E"/>
    <w:rsid w:val="00283311"/>
    <w:rsid w:val="003207CC"/>
    <w:rsid w:val="00384EB8"/>
    <w:rsid w:val="004D2C9B"/>
    <w:rsid w:val="004F5755"/>
    <w:rsid w:val="00506994"/>
    <w:rsid w:val="00597FFB"/>
    <w:rsid w:val="00653740"/>
    <w:rsid w:val="006B280E"/>
    <w:rsid w:val="00754E1B"/>
    <w:rsid w:val="00892FD0"/>
    <w:rsid w:val="00963BE8"/>
    <w:rsid w:val="00971174"/>
    <w:rsid w:val="009D2A1A"/>
    <w:rsid w:val="00A40AE6"/>
    <w:rsid w:val="00A91CD0"/>
    <w:rsid w:val="00B81383"/>
    <w:rsid w:val="00C44099"/>
    <w:rsid w:val="00C75986"/>
    <w:rsid w:val="00D22202"/>
    <w:rsid w:val="00D94C3F"/>
    <w:rsid w:val="00E67EEC"/>
    <w:rsid w:val="00EE3ADB"/>
    <w:rsid w:val="00F374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AF1F"/>
  <w15:chartTrackingRefBased/>
  <w15:docId w15:val="{BEE6451E-C6D0-44D2-9793-7DF22FE5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0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5986"/>
    <w:pPr>
      <w:spacing w:after="0" w:line="240" w:lineRule="auto"/>
    </w:pPr>
    <w:rPr>
      <w:rFonts w:ascii="Calibri" w:hAnsi="Calibri" w:cs="Calibri"/>
      <w:kern w:val="0"/>
      <w:lang w:eastAsia="lv-LV"/>
      <w14:ligatures w14:val="none"/>
    </w:rPr>
  </w:style>
  <w:style w:type="paragraph" w:styleId="ListParagraph">
    <w:name w:val="List Paragraph"/>
    <w:basedOn w:val="Normal"/>
    <w:uiPriority w:val="34"/>
    <w:qFormat/>
    <w:rsid w:val="00C75986"/>
    <w:pPr>
      <w:ind w:left="720"/>
      <w:contextualSpacing/>
    </w:pPr>
  </w:style>
  <w:style w:type="character" w:styleId="Hyperlink">
    <w:name w:val="Hyperlink"/>
    <w:basedOn w:val="DefaultParagraphFont"/>
    <w:uiPriority w:val="99"/>
    <w:semiHidden/>
    <w:unhideWhenUsed/>
    <w:rsid w:val="00C75986"/>
    <w:rPr>
      <w:color w:val="0000FF"/>
      <w:u w:val="single"/>
    </w:rPr>
  </w:style>
  <w:style w:type="paragraph" w:styleId="NoSpacing">
    <w:name w:val="No Spacing"/>
    <w:link w:val="NoSpacingChar"/>
    <w:uiPriority w:val="1"/>
    <w:qFormat/>
    <w:rsid w:val="006B280E"/>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uiPriority w:val="1"/>
    <w:locked/>
    <w:rsid w:val="006B280E"/>
    <w:rPr>
      <w:rFonts w:ascii="Calibri" w:eastAsia="Calibri" w:hAnsi="Calibri" w:cs="Times New Roman"/>
      <w:kern w:val="0"/>
      <w14:ligatures w14:val="none"/>
    </w:rPr>
  </w:style>
  <w:style w:type="paragraph" w:customStyle="1" w:styleId="elementtoproof">
    <w:name w:val="elementtoproof"/>
    <w:basedOn w:val="Normal"/>
    <w:uiPriority w:val="99"/>
    <w:semiHidden/>
    <w:rsid w:val="00F374F1"/>
    <w:pPr>
      <w:spacing w:after="0" w:line="240" w:lineRule="auto"/>
    </w:pPr>
    <w:rPr>
      <w:rFonts w:ascii="Calibri" w:hAnsi="Calibri" w:cs="Calibri"/>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29743">
      <w:bodyDiv w:val="1"/>
      <w:marLeft w:val="0"/>
      <w:marRight w:val="0"/>
      <w:marTop w:val="0"/>
      <w:marBottom w:val="0"/>
      <w:divBdr>
        <w:top w:val="none" w:sz="0" w:space="0" w:color="auto"/>
        <w:left w:val="none" w:sz="0" w:space="0" w:color="auto"/>
        <w:bottom w:val="none" w:sz="0" w:space="0" w:color="auto"/>
        <w:right w:val="none" w:sz="0" w:space="0" w:color="auto"/>
      </w:divBdr>
    </w:div>
    <w:div w:id="361591301">
      <w:bodyDiv w:val="1"/>
      <w:marLeft w:val="0"/>
      <w:marRight w:val="0"/>
      <w:marTop w:val="0"/>
      <w:marBottom w:val="0"/>
      <w:divBdr>
        <w:top w:val="none" w:sz="0" w:space="0" w:color="auto"/>
        <w:left w:val="none" w:sz="0" w:space="0" w:color="auto"/>
        <w:bottom w:val="none" w:sz="0" w:space="0" w:color="auto"/>
        <w:right w:val="none" w:sz="0" w:space="0" w:color="auto"/>
      </w:divBdr>
    </w:div>
    <w:div w:id="829056136">
      <w:bodyDiv w:val="1"/>
      <w:marLeft w:val="0"/>
      <w:marRight w:val="0"/>
      <w:marTop w:val="0"/>
      <w:marBottom w:val="0"/>
      <w:divBdr>
        <w:top w:val="none" w:sz="0" w:space="0" w:color="auto"/>
        <w:left w:val="none" w:sz="0" w:space="0" w:color="auto"/>
        <w:bottom w:val="none" w:sz="0" w:space="0" w:color="auto"/>
        <w:right w:val="none" w:sz="0" w:space="0" w:color="auto"/>
      </w:divBdr>
    </w:div>
    <w:div w:id="940529196">
      <w:bodyDiv w:val="1"/>
      <w:marLeft w:val="0"/>
      <w:marRight w:val="0"/>
      <w:marTop w:val="0"/>
      <w:marBottom w:val="0"/>
      <w:divBdr>
        <w:top w:val="none" w:sz="0" w:space="0" w:color="auto"/>
        <w:left w:val="none" w:sz="0" w:space="0" w:color="auto"/>
        <w:bottom w:val="none" w:sz="0" w:space="0" w:color="auto"/>
        <w:right w:val="none" w:sz="0" w:space="0" w:color="auto"/>
      </w:divBdr>
    </w:div>
    <w:div w:id="1166095581">
      <w:bodyDiv w:val="1"/>
      <w:marLeft w:val="0"/>
      <w:marRight w:val="0"/>
      <w:marTop w:val="0"/>
      <w:marBottom w:val="0"/>
      <w:divBdr>
        <w:top w:val="none" w:sz="0" w:space="0" w:color="auto"/>
        <w:left w:val="none" w:sz="0" w:space="0" w:color="auto"/>
        <w:bottom w:val="none" w:sz="0" w:space="0" w:color="auto"/>
        <w:right w:val="none" w:sz="0" w:space="0" w:color="auto"/>
      </w:divBdr>
    </w:div>
    <w:div w:id="1360205253">
      <w:bodyDiv w:val="1"/>
      <w:marLeft w:val="0"/>
      <w:marRight w:val="0"/>
      <w:marTop w:val="0"/>
      <w:marBottom w:val="0"/>
      <w:divBdr>
        <w:top w:val="none" w:sz="0" w:space="0" w:color="auto"/>
        <w:left w:val="none" w:sz="0" w:space="0" w:color="auto"/>
        <w:bottom w:val="none" w:sz="0" w:space="0" w:color="auto"/>
        <w:right w:val="none" w:sz="0" w:space="0" w:color="auto"/>
      </w:divBdr>
    </w:div>
    <w:div w:id="156167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1508</Words>
  <Characters>860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4</cp:revision>
  <dcterms:created xsi:type="dcterms:W3CDTF">2024-12-18T10:04:00Z</dcterms:created>
  <dcterms:modified xsi:type="dcterms:W3CDTF">2024-12-18T10:07:00Z</dcterms:modified>
</cp:coreProperties>
</file>