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7CD9" w14:textId="082269A0" w:rsidR="00FD4874" w:rsidRDefault="00FD4874" w:rsidP="00FD4874">
      <w:pPr>
        <w:jc w:val="center"/>
        <w:rPr>
          <w:rFonts w:ascii="Times New Roman" w:hAnsi="Times New Roman" w:cs="Times New Roman"/>
          <w:b/>
          <w:bCs/>
          <w:sz w:val="24"/>
          <w:szCs w:val="24"/>
        </w:rPr>
      </w:pPr>
    </w:p>
    <w:p w14:paraId="0C157F74" w14:textId="77777777" w:rsidR="00FD4874" w:rsidRPr="00FD4874" w:rsidRDefault="00FD4874" w:rsidP="00FD4874">
      <w:pPr>
        <w:autoSpaceDE w:val="0"/>
        <w:autoSpaceDN w:val="0"/>
        <w:adjustRightInd w:val="0"/>
        <w:spacing w:after="0" w:line="240" w:lineRule="auto"/>
        <w:jc w:val="right"/>
        <w:rPr>
          <w:rFonts w:ascii="Times New Roman" w:hAnsi="Times New Roman" w:cs="Times New Roman"/>
          <w:color w:val="000000"/>
          <w:sz w:val="24"/>
          <w:szCs w:val="24"/>
        </w:rPr>
      </w:pPr>
      <w:r w:rsidRPr="00FD4874">
        <w:rPr>
          <w:rFonts w:ascii="Times New Roman" w:hAnsi="Times New Roman" w:cs="Times New Roman"/>
          <w:color w:val="000000"/>
          <w:sz w:val="24"/>
          <w:szCs w:val="24"/>
        </w:rPr>
        <w:t xml:space="preserve">Atklāta konkursa </w:t>
      </w:r>
    </w:p>
    <w:p w14:paraId="2FC74E1F" w14:textId="349FC36F" w:rsidR="00FD4874" w:rsidRPr="00FD4874" w:rsidRDefault="00FD4874" w:rsidP="00FD4874">
      <w:pPr>
        <w:autoSpaceDE w:val="0"/>
        <w:autoSpaceDN w:val="0"/>
        <w:adjustRightInd w:val="0"/>
        <w:spacing w:after="0" w:line="240" w:lineRule="auto"/>
        <w:jc w:val="right"/>
        <w:rPr>
          <w:rFonts w:ascii="Times New Roman" w:hAnsi="Times New Roman" w:cs="Times New Roman"/>
          <w:color w:val="000000"/>
          <w:sz w:val="24"/>
          <w:szCs w:val="24"/>
        </w:rPr>
      </w:pPr>
      <w:r w:rsidRPr="00FD4874">
        <w:rPr>
          <w:rFonts w:ascii="Times New Roman" w:hAnsi="Times New Roman" w:cs="Times New Roman"/>
          <w:color w:val="000000"/>
          <w:sz w:val="24"/>
          <w:szCs w:val="24"/>
        </w:rPr>
        <w:t>“</w:t>
      </w:r>
      <w:r w:rsidR="00FE58D5" w:rsidRPr="00FE58D5">
        <w:rPr>
          <w:rFonts w:ascii="Times New Roman" w:hAnsi="Times New Roman" w:cs="Times New Roman"/>
          <w:color w:val="000000"/>
          <w:sz w:val="24"/>
          <w:szCs w:val="24"/>
        </w:rPr>
        <w:t>Vieglo transportlīdzekļu piegāde</w:t>
      </w:r>
      <w:r w:rsidRPr="00FD4874">
        <w:rPr>
          <w:rFonts w:ascii="Times New Roman" w:hAnsi="Times New Roman" w:cs="Times New Roman"/>
          <w:color w:val="000000"/>
          <w:sz w:val="24"/>
          <w:szCs w:val="24"/>
        </w:rPr>
        <w:t xml:space="preserve">” </w:t>
      </w:r>
    </w:p>
    <w:p w14:paraId="2B3ADBF8" w14:textId="77777777" w:rsidR="00FD4874" w:rsidRDefault="00FD4874" w:rsidP="00FD4874">
      <w:pPr>
        <w:jc w:val="center"/>
        <w:rPr>
          <w:rFonts w:ascii="Times New Roman" w:hAnsi="Times New Roman" w:cs="Times New Roman"/>
          <w:b/>
          <w:bCs/>
          <w:sz w:val="24"/>
          <w:szCs w:val="24"/>
        </w:rPr>
      </w:pPr>
    </w:p>
    <w:p w14:paraId="46E47E61" w14:textId="78ECE64A" w:rsidR="007B694D" w:rsidRPr="007B694D" w:rsidRDefault="007B694D" w:rsidP="007B694D">
      <w:pPr>
        <w:jc w:val="center"/>
        <w:rPr>
          <w:rFonts w:ascii="Times New Roman" w:hAnsi="Times New Roman" w:cs="Times New Roman"/>
          <w:b/>
          <w:bCs/>
          <w:sz w:val="24"/>
          <w:szCs w:val="24"/>
        </w:rPr>
      </w:pPr>
      <w:r>
        <w:rPr>
          <w:rFonts w:ascii="Times New Roman" w:hAnsi="Times New Roman" w:cs="Times New Roman"/>
          <w:b/>
          <w:bCs/>
          <w:sz w:val="24"/>
          <w:szCs w:val="24"/>
        </w:rPr>
        <w:t>P</w:t>
      </w:r>
      <w:r w:rsidR="007E0122">
        <w:rPr>
          <w:rFonts w:ascii="Times New Roman" w:hAnsi="Times New Roman" w:cs="Times New Roman"/>
          <w:b/>
          <w:bCs/>
          <w:sz w:val="24"/>
          <w:szCs w:val="24"/>
        </w:rPr>
        <w:t>lānotās k</w:t>
      </w:r>
      <w:r w:rsidR="00FD4874" w:rsidRPr="00FD4874">
        <w:rPr>
          <w:rFonts w:ascii="Times New Roman" w:hAnsi="Times New Roman" w:cs="Times New Roman"/>
          <w:b/>
          <w:bCs/>
          <w:sz w:val="24"/>
          <w:szCs w:val="24"/>
        </w:rPr>
        <w:t>valifikācijas prasības</w:t>
      </w:r>
    </w:p>
    <w:p w14:paraId="4C6363ED" w14:textId="464D09F0" w:rsidR="001E512C" w:rsidRPr="00CE4E06" w:rsidRDefault="001E512C" w:rsidP="001E512C">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E4E06">
        <w:rPr>
          <w:rFonts w:ascii="Times New Roman" w:hAnsi="Times New Roman" w:cs="Times New Roman"/>
          <w:b/>
          <w:bCs/>
          <w:color w:val="000000" w:themeColor="text1"/>
          <w:sz w:val="24"/>
          <w:szCs w:val="24"/>
        </w:rPr>
        <w:t>Prasības attiecībā uz pretendenta saimniecisko un finansiāli stāvokli</w:t>
      </w:r>
    </w:p>
    <w:p w14:paraId="1BFD6220" w14:textId="5ADD8DBB" w:rsidR="001E512C" w:rsidRPr="00CE4E06" w:rsidRDefault="001E512C" w:rsidP="001E512C">
      <w:pPr>
        <w:pStyle w:val="ListParagraph"/>
        <w:numPr>
          <w:ilvl w:val="1"/>
          <w:numId w:val="1"/>
        </w:numPr>
        <w:spacing w:after="0" w:line="240" w:lineRule="auto"/>
        <w:ind w:left="709"/>
        <w:jc w:val="both"/>
        <w:rPr>
          <w:rFonts w:ascii="Times New Roman" w:hAnsi="Times New Roman"/>
          <w:color w:val="000000" w:themeColor="text1"/>
          <w:sz w:val="24"/>
          <w:szCs w:val="24"/>
        </w:rPr>
      </w:pPr>
      <w:r w:rsidRPr="00CE4E06">
        <w:rPr>
          <w:rFonts w:ascii="Times New Roman" w:eastAsia="Times New Roman" w:hAnsi="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(202</w:t>
      </w:r>
      <w:r w:rsidR="004040D6">
        <w:rPr>
          <w:rFonts w:ascii="Times New Roman" w:eastAsia="Times New Roman" w:hAnsi="Times New Roman"/>
          <w:color w:val="000000" w:themeColor="text1"/>
          <w:spacing w:val="-3"/>
          <w:sz w:val="24"/>
          <w:szCs w:val="24"/>
        </w:rPr>
        <w:t>2</w:t>
      </w:r>
      <w:r w:rsidRPr="00CE4E06">
        <w:rPr>
          <w:rFonts w:ascii="Times New Roman" w:eastAsia="Times New Roman" w:hAnsi="Times New Roman"/>
          <w:color w:val="000000" w:themeColor="text1"/>
          <w:spacing w:val="-3"/>
          <w:sz w:val="24"/>
          <w:szCs w:val="24"/>
        </w:rPr>
        <w:t xml:space="preserve">.gada) pārskata rezultātiem, raksturo </w:t>
      </w:r>
      <w:r w:rsidRPr="00CE4E06">
        <w:rPr>
          <w:rFonts w:ascii="Times New Roman" w:eastAsia="Times New Roman" w:hAnsi="Times New Roman"/>
          <w:b/>
          <w:bCs/>
          <w:color w:val="000000" w:themeColor="text1"/>
          <w:spacing w:val="-3"/>
          <w:sz w:val="24"/>
          <w:szCs w:val="24"/>
        </w:rPr>
        <w:t>pozitīvs pašu kapitāls</w:t>
      </w:r>
      <w:r w:rsidRPr="00CE4E06">
        <w:rPr>
          <w:rFonts w:ascii="Times New Roman" w:eastAsia="Times New Roman" w:hAnsi="Times New Roman"/>
          <w:color w:val="000000" w:themeColor="text1"/>
          <w:spacing w:val="-3"/>
          <w:sz w:val="24"/>
          <w:szCs w:val="24"/>
        </w:rPr>
        <w:t xml:space="preserve">. </w:t>
      </w:r>
      <w:r w:rsidRPr="00CE4E06">
        <w:rPr>
          <w:rFonts w:ascii="Times New Roman" w:hAnsi="Times New Roman"/>
          <w:color w:val="000000" w:themeColor="text1"/>
          <w:sz w:val="24"/>
          <w:szCs w:val="24"/>
        </w:rPr>
        <w:t xml:space="preserve">Pretendentiem, kuri dibināti vēlāk un kuriem neviens gada pārskats nav apstiprināts, finanšu un saimnieciskās darbības rādītāju atbilstību nolikuma šim punktam nosaka, </w:t>
      </w:r>
      <w:r w:rsidRPr="00CE4E06">
        <w:rPr>
          <w:rFonts w:ascii="Times New Roman" w:hAnsi="Times New Roman" w:cs="Times New Roman"/>
          <w:color w:val="000000" w:themeColor="text1"/>
          <w:sz w:val="24"/>
          <w:szCs w:val="24"/>
        </w:rPr>
        <w:t xml:space="preserve">pamatojoties uz pretendenta finanšu un saimnieciskās darbības pārskatu.  </w:t>
      </w:r>
    </w:p>
    <w:p w14:paraId="62AA3619" w14:textId="25C8B30E" w:rsidR="001E512C" w:rsidRPr="00CE4E06" w:rsidRDefault="001E512C" w:rsidP="001E512C">
      <w:pPr>
        <w:pStyle w:val="ListParagraph"/>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w:t>
      </w:r>
      <w:r w:rsidR="006A5824">
        <w:rPr>
          <w:rFonts w:ascii="Times New Roman" w:eastAsia="Times New Roman" w:hAnsi="Times New Roman"/>
          <w:color w:val="000000" w:themeColor="text1"/>
          <w:spacing w:val="-3"/>
          <w:sz w:val="24"/>
          <w:szCs w:val="24"/>
        </w:rPr>
        <w:t xml:space="preserve">šī </w:t>
      </w:r>
      <w:r w:rsidRPr="00CE4E06">
        <w:rPr>
          <w:rFonts w:ascii="Times New Roman" w:eastAsia="Times New Roman" w:hAnsi="Times New Roman"/>
          <w:color w:val="000000" w:themeColor="text1"/>
          <w:spacing w:val="-3"/>
          <w:sz w:val="24"/>
          <w:szCs w:val="24"/>
        </w:rPr>
        <w:t>punkta prasībām.</w:t>
      </w:r>
    </w:p>
    <w:p w14:paraId="36EA3A12" w14:textId="069FC050" w:rsidR="001E512C" w:rsidRPr="00CE4E06" w:rsidRDefault="001E512C" w:rsidP="001E512C">
      <w:pPr>
        <w:pStyle w:val="ListParagraph"/>
        <w:numPr>
          <w:ilvl w:val="1"/>
          <w:numId w:val="1"/>
        </w:numPr>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Apliecinot atbilstību </w:t>
      </w:r>
      <w:r w:rsidR="006A5824">
        <w:rPr>
          <w:rFonts w:ascii="Times New Roman" w:eastAsia="Times New Roman" w:hAnsi="Times New Roman"/>
          <w:color w:val="000000" w:themeColor="text1"/>
          <w:spacing w:val="-3"/>
          <w:sz w:val="24"/>
          <w:szCs w:val="24"/>
        </w:rPr>
        <w:t>1</w:t>
      </w:r>
      <w:r w:rsidRPr="00CE4E06">
        <w:rPr>
          <w:rFonts w:ascii="Times New Roman" w:eastAsia="Times New Roman" w:hAnsi="Times New Roman"/>
          <w:color w:val="000000" w:themeColor="text1"/>
          <w:spacing w:val="-3"/>
          <w:sz w:val="24"/>
          <w:szCs w:val="24"/>
        </w:rPr>
        <w:t>.1.punkta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52C287F9" w14:textId="77777777" w:rsidR="001E512C" w:rsidRPr="00CE4E06" w:rsidRDefault="001E512C" w:rsidP="001E512C">
      <w:pPr>
        <w:spacing w:after="0" w:line="240" w:lineRule="auto"/>
        <w:ind w:left="709"/>
        <w:jc w:val="both"/>
        <w:rPr>
          <w:rFonts w:ascii="Times New Roman" w:eastAsia="Times New Roman" w:hAnsi="Times New Roman"/>
          <w:color w:val="000000" w:themeColor="text1"/>
          <w:spacing w:val="-3"/>
          <w:sz w:val="24"/>
          <w:szCs w:val="24"/>
        </w:rPr>
      </w:pPr>
    </w:p>
    <w:p w14:paraId="0BE74795"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0" w:name="_Hlk502922621"/>
      <w:r w:rsidRPr="00CE4E06">
        <w:rPr>
          <w:rFonts w:ascii="Times New Roman" w:eastAsia="Times New Roman" w:hAnsi="Times New Roman" w:cs="Times New Roman"/>
          <w:b/>
          <w:color w:val="000000" w:themeColor="text1"/>
          <w:spacing w:val="-3"/>
          <w:sz w:val="24"/>
          <w:szCs w:val="24"/>
        </w:rPr>
        <w:t xml:space="preserve">Prasības </w:t>
      </w:r>
      <w:r w:rsidRPr="00CE4E06">
        <w:rPr>
          <w:rFonts w:ascii="Times New Roman" w:eastAsia="Times New Roman" w:hAnsi="Times New Roman" w:cs="Times New Roman"/>
          <w:b/>
          <w:color w:val="000000" w:themeColor="text1"/>
          <w:sz w:val="24"/>
          <w:szCs w:val="24"/>
        </w:rPr>
        <w:t xml:space="preserve">profesionālās darbības veikšanai </w:t>
      </w:r>
    </w:p>
    <w:p w14:paraId="42B1D6BA" w14:textId="77777777" w:rsidR="001E512C" w:rsidRDefault="001E512C" w:rsidP="001E512C">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p w14:paraId="1A40EF52" w14:textId="77777777" w:rsidR="004040D6" w:rsidRPr="00CE4E06" w:rsidRDefault="004040D6" w:rsidP="004040D6">
      <w:pPr>
        <w:pStyle w:val="ListParagraph"/>
        <w:spacing w:after="0" w:line="240" w:lineRule="auto"/>
        <w:jc w:val="both"/>
        <w:rPr>
          <w:rFonts w:ascii="Times New Roman" w:eastAsia="Times New Roman" w:hAnsi="Times New Roman" w:cs="Times New Roman"/>
          <w:color w:val="000000" w:themeColor="text1"/>
          <w:sz w:val="24"/>
          <w:szCs w:val="24"/>
        </w:rPr>
      </w:pPr>
    </w:p>
    <w:bookmarkEnd w:id="0"/>
    <w:p w14:paraId="55B5178F"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5692CA87" w14:textId="77777777" w:rsidR="00E80094" w:rsidRPr="00967A12" w:rsidRDefault="00E80094" w:rsidP="00E80094">
      <w:pPr>
        <w:pStyle w:val="ListParagraph"/>
        <w:widowControl w:val="0"/>
        <w:numPr>
          <w:ilvl w:val="1"/>
          <w:numId w:val="1"/>
        </w:numPr>
        <w:spacing w:after="120"/>
        <w:jc w:val="both"/>
        <w:rPr>
          <w:rFonts w:ascii="Times New Roman" w:hAnsi="Times New Roman" w:cs="Times New Roman"/>
          <w:sz w:val="24"/>
          <w:szCs w:val="24"/>
        </w:rPr>
      </w:pPr>
      <w:r w:rsidRPr="00967A12">
        <w:rPr>
          <w:rFonts w:ascii="Times New Roman" w:hAnsi="Times New Roman" w:cs="Times New Roman"/>
          <w:color w:val="000000" w:themeColor="text1"/>
          <w:sz w:val="24"/>
          <w:szCs w:val="24"/>
        </w:rPr>
        <w:t xml:space="preserve">Pretendentam ir tiesības kā ražotāja autorizētam pārstāvim vai  ražotāja autorizētā pārstāvja pilnvarotai personai pārdot piedāvājumā norādītā ražotāja transportlīdzekļus un veikt tā garantijas apkalpošanu. </w:t>
      </w:r>
    </w:p>
    <w:p w14:paraId="58707AA1" w14:textId="77777777" w:rsidR="00E80094" w:rsidRPr="00967A12" w:rsidRDefault="00E80094" w:rsidP="00E80094">
      <w:pPr>
        <w:pStyle w:val="ListParagraph"/>
        <w:widowControl w:val="0"/>
        <w:numPr>
          <w:ilvl w:val="1"/>
          <w:numId w:val="1"/>
        </w:numPr>
        <w:spacing w:after="120"/>
        <w:jc w:val="both"/>
        <w:rPr>
          <w:rFonts w:ascii="Times New Roman" w:hAnsi="Times New Roman" w:cs="Times New Roman"/>
          <w:sz w:val="24"/>
          <w:szCs w:val="24"/>
        </w:rPr>
      </w:pPr>
      <w:r w:rsidRPr="00967A12">
        <w:rPr>
          <w:rFonts w:ascii="Times New Roman" w:hAnsi="Times New Roman" w:cs="Times New Roman"/>
          <w:sz w:val="24"/>
          <w:szCs w:val="24"/>
        </w:rPr>
        <w:t>Ja Pretendents ir piegādātāju apvienība, tad vismaz vienam no piegādātāju apvienības dalībniekiem jāatbilst šajā punktā noteiktajai prasībai.</w:t>
      </w:r>
    </w:p>
    <w:p w14:paraId="3E84E163" w14:textId="77777777" w:rsidR="003F0836" w:rsidRPr="003F0836" w:rsidRDefault="003F0836" w:rsidP="003F0836">
      <w:pPr>
        <w:widowControl w:val="0"/>
        <w:autoSpaceDE w:val="0"/>
        <w:autoSpaceDN w:val="0"/>
        <w:adjustRightInd w:val="0"/>
        <w:spacing w:after="120" w:line="276" w:lineRule="auto"/>
        <w:jc w:val="both"/>
        <w:rPr>
          <w:rFonts w:ascii="Times New Roman" w:hAnsi="Times New Roman" w:cs="Times New Roman"/>
          <w:sz w:val="24"/>
          <w:szCs w:val="24"/>
        </w:rPr>
      </w:pPr>
    </w:p>
    <w:sectPr w:rsidR="003F0836" w:rsidRPr="003F0836" w:rsidSect="00FD4874">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9AD0" w14:textId="77777777" w:rsidR="00FE1507" w:rsidRDefault="00FE1507" w:rsidP="007B694D">
      <w:pPr>
        <w:spacing w:after="0" w:line="240" w:lineRule="auto"/>
      </w:pPr>
      <w:r>
        <w:separator/>
      </w:r>
    </w:p>
  </w:endnote>
  <w:endnote w:type="continuationSeparator" w:id="0">
    <w:p w14:paraId="0D96228B" w14:textId="77777777" w:rsidR="00FE1507" w:rsidRDefault="00FE1507" w:rsidP="007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E284" w14:textId="77777777" w:rsidR="00FE1507" w:rsidRDefault="00FE1507" w:rsidP="007B694D">
      <w:pPr>
        <w:spacing w:after="0" w:line="240" w:lineRule="auto"/>
      </w:pPr>
      <w:r>
        <w:separator/>
      </w:r>
    </w:p>
  </w:footnote>
  <w:footnote w:type="continuationSeparator" w:id="0">
    <w:p w14:paraId="3CB3638E" w14:textId="77777777" w:rsidR="00FE1507" w:rsidRDefault="00FE1507" w:rsidP="007B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486350A"/>
    <w:multiLevelType w:val="multilevel"/>
    <w:tmpl w:val="66A0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9937039">
    <w:abstractNumId w:val="2"/>
  </w:num>
  <w:num w:numId="2" w16cid:durableId="990905819">
    <w:abstractNumId w:val="0"/>
  </w:num>
  <w:num w:numId="3" w16cid:durableId="21142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74"/>
    <w:rsid w:val="00015A08"/>
    <w:rsid w:val="000222A7"/>
    <w:rsid w:val="001B34E5"/>
    <w:rsid w:val="001E512C"/>
    <w:rsid w:val="00276174"/>
    <w:rsid w:val="0030359D"/>
    <w:rsid w:val="00353ED2"/>
    <w:rsid w:val="003F0836"/>
    <w:rsid w:val="00403D68"/>
    <w:rsid w:val="004040D6"/>
    <w:rsid w:val="004A4835"/>
    <w:rsid w:val="0059146D"/>
    <w:rsid w:val="005E25E0"/>
    <w:rsid w:val="006A5824"/>
    <w:rsid w:val="007B694D"/>
    <w:rsid w:val="007E0122"/>
    <w:rsid w:val="00967A12"/>
    <w:rsid w:val="00BD4EB2"/>
    <w:rsid w:val="00C302C5"/>
    <w:rsid w:val="00D367E0"/>
    <w:rsid w:val="00D955FB"/>
    <w:rsid w:val="00E80094"/>
    <w:rsid w:val="00ED261B"/>
    <w:rsid w:val="00F02318"/>
    <w:rsid w:val="00FD4874"/>
    <w:rsid w:val="00FE1507"/>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BD7"/>
  <w15:chartTrackingRefBased/>
  <w15:docId w15:val="{8D16151F-DC65-4AE0-ADAE-33C5DD5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74"/>
  </w:style>
  <w:style w:type="paragraph" w:styleId="Heading1">
    <w:name w:val="heading 1"/>
    <w:basedOn w:val="Normal"/>
    <w:next w:val="Normal"/>
    <w:link w:val="Heading1Char"/>
    <w:qFormat/>
    <w:rsid w:val="0030359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1B34E5"/>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B34E5"/>
  </w:style>
  <w:style w:type="character" w:customStyle="1" w:styleId="Heading1Char">
    <w:name w:val="Heading 1 Char"/>
    <w:basedOn w:val="DefaultParagraphFont"/>
    <w:link w:val="Heading1"/>
    <w:rsid w:val="0030359D"/>
    <w:rPr>
      <w:rFonts w:asciiTheme="majorHAnsi" w:eastAsiaTheme="majorEastAsia" w:hAnsiTheme="majorHAnsi" w:cstheme="majorBidi"/>
      <w:b/>
      <w:bCs/>
      <w:color w:val="2F5496" w:themeColor="accent1" w:themeShade="BF"/>
      <w:sz w:val="28"/>
      <w:szCs w:val="28"/>
      <w:lang w:val="en-GB"/>
    </w:rPr>
  </w:style>
  <w:style w:type="paragraph" w:customStyle="1" w:styleId="StyleStyle2Justified">
    <w:name w:val="Style Style2 + Justified"/>
    <w:basedOn w:val="Normal"/>
    <w:rsid w:val="0030359D"/>
    <w:pPr>
      <w:numPr>
        <w:ilvl w:val="1"/>
        <w:numId w:val="2"/>
      </w:numPr>
      <w:spacing w:before="240" w:after="120" w:line="240" w:lineRule="auto"/>
      <w:jc w:val="both"/>
    </w:pPr>
    <w:rPr>
      <w:rFonts w:ascii="Times New Roman" w:eastAsia="Times New Roman" w:hAnsi="Times New Roman" w:cs="Times New Roman"/>
      <w:b/>
      <w:bCs/>
      <w:sz w:val="24"/>
      <w:szCs w:val="20"/>
    </w:rPr>
  </w:style>
  <w:style w:type="paragraph" w:customStyle="1" w:styleId="StyleStyle1Justified">
    <w:name w:val="Style Style1 + Justified"/>
    <w:basedOn w:val="Normal"/>
    <w:rsid w:val="0030359D"/>
    <w:pPr>
      <w:numPr>
        <w:numId w:val="2"/>
      </w:numPr>
      <w:tabs>
        <w:tab w:val="num" w:pos="1134"/>
      </w:tabs>
      <w:spacing w:before="40" w:after="40" w:line="240" w:lineRule="auto"/>
      <w:jc w:val="both"/>
    </w:pPr>
    <w:rPr>
      <w:rFonts w:ascii="Times New Roman" w:eastAsia="Times New Roman" w:hAnsi="Times New Roman" w:cs="Times New Roman"/>
      <w:sz w:val="24"/>
      <w:szCs w:val="20"/>
    </w:rPr>
  </w:style>
  <w:style w:type="table" w:styleId="TableGrid">
    <w:name w:val="Table Grid"/>
    <w:basedOn w:val="TableNormal"/>
    <w:uiPriority w:val="39"/>
    <w:rsid w:val="003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B694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B694D"/>
    <w:rPr>
      <w:rFonts w:ascii="Arial" w:eastAsia="Times New Roman" w:hAnsi="Arial" w:cs="Times New Roman"/>
      <w:sz w:val="20"/>
      <w:szCs w:val="20"/>
    </w:rPr>
  </w:style>
  <w:style w:type="character" w:styleId="FootnoteReference">
    <w:name w:val="footnote reference"/>
    <w:uiPriority w:val="99"/>
    <w:rsid w:val="007B6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Sandra Čakša</cp:lastModifiedBy>
  <cp:revision>2</cp:revision>
  <dcterms:created xsi:type="dcterms:W3CDTF">2023-07-21T07:53:00Z</dcterms:created>
  <dcterms:modified xsi:type="dcterms:W3CDTF">2023-07-21T07:53:00Z</dcterms:modified>
</cp:coreProperties>
</file>