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EC8A5F1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58C081CC" w:rsidR="00882163" w:rsidRDefault="00882163" w:rsidP="002737B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16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93AF0" w:rsidRPr="00AB780E">
        <w:rPr>
          <w:rFonts w:ascii="Times New Roman" w:hAnsi="Times New Roman" w:cs="Times New Roman"/>
          <w:b/>
          <w:bCs/>
          <w:sz w:val="28"/>
          <w:szCs w:val="28"/>
        </w:rPr>
        <w:t>Apakšstaciju ēku atjaunošana / pārbūve, 10kV elektrolīniju atjaunošana un elektroiekārtu nomaiņa. 5. un 7.tramvaja maršruts</w:t>
      </w:r>
      <w:r w:rsidRPr="00AB780E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BF3A8F" w:rsidRPr="00AB780E">
        <w:rPr>
          <w:rFonts w:ascii="Times New Roman" w:hAnsi="Times New Roman" w:cs="Times New Roman"/>
          <w:b/>
          <w:bCs/>
          <w:sz w:val="28"/>
          <w:szCs w:val="28"/>
        </w:rPr>
        <w:t xml:space="preserve"> būvprojekta izstrāde un autoruzraudzība</w:t>
      </w:r>
    </w:p>
    <w:p w14:paraId="437648C3" w14:textId="5F2DAB9C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35F3DA90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2B3BCFD8" w14:textId="77777777" w:rsidR="003E6E99" w:rsidRPr="002B10D1" w:rsidRDefault="003E6E99" w:rsidP="003E6E99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2B10D1">
        <w:rPr>
          <w:rFonts w:ascii="Times New Roman" w:hAnsi="Times New Roman"/>
          <w:b/>
          <w:sz w:val="24"/>
          <w:szCs w:val="24"/>
        </w:rPr>
        <w:t>3.1. Esam iepazinušies ar iepirkuma priekšmetu un:</w:t>
      </w:r>
    </w:p>
    <w:p w14:paraId="30A1629E" w14:textId="77777777" w:rsidR="003E6E99" w:rsidRPr="003E6E99" w:rsidRDefault="003E6E99" w:rsidP="00FE0B96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2B10D1">
        <w:rPr>
          <w:rFonts w:ascii="Segoe UI Symbol" w:hAnsi="Segoe UI Symbol" w:cs="Segoe UI Symbol"/>
          <w:bCs/>
          <w:sz w:val="24"/>
          <w:szCs w:val="24"/>
        </w:rPr>
        <w:t>☐</w:t>
      </w:r>
      <w:r w:rsidRPr="002B10D1">
        <w:rPr>
          <w:rFonts w:ascii="Times New Roman" w:hAnsi="Times New Roman"/>
          <w:bCs/>
          <w:sz w:val="24"/>
          <w:szCs w:val="24"/>
        </w:rPr>
        <w:t xml:space="preserve">  Piedalīsimies atklātā konkursā, kad tāds tiks izsludināts</w:t>
      </w:r>
      <w:r w:rsidRPr="003E6E99">
        <w:rPr>
          <w:rFonts w:ascii="Times New Roman" w:hAnsi="Times New Roman"/>
          <w:bCs/>
          <w:sz w:val="24"/>
          <w:szCs w:val="24"/>
        </w:rPr>
        <w:t>;</w:t>
      </w:r>
    </w:p>
    <w:p w14:paraId="3A511660" w14:textId="77777777" w:rsidR="003E6E99" w:rsidRPr="003E6E99" w:rsidRDefault="003E6E99" w:rsidP="00FE0B96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E6E99">
        <w:rPr>
          <w:rFonts w:ascii="Segoe UI Symbol" w:hAnsi="Segoe UI Symbol" w:cs="Segoe UI Symbol"/>
          <w:bCs/>
          <w:sz w:val="24"/>
          <w:szCs w:val="24"/>
        </w:rPr>
        <w:t>☐</w:t>
      </w:r>
      <w:r w:rsidRPr="003E6E99">
        <w:rPr>
          <w:rFonts w:ascii="Times New Roman" w:hAnsi="Times New Roman"/>
          <w:bCs/>
          <w:sz w:val="24"/>
          <w:szCs w:val="24"/>
        </w:rPr>
        <w:t xml:space="preserve">  Nepiedalīsimies, jo nav atbilstošas pieredzes;</w:t>
      </w:r>
    </w:p>
    <w:p w14:paraId="53D42595" w14:textId="77777777" w:rsidR="003E6E99" w:rsidRPr="003E6E99" w:rsidRDefault="003E6E99" w:rsidP="00FE0B96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E6E99">
        <w:rPr>
          <w:rFonts w:ascii="Segoe UI Symbol" w:hAnsi="Segoe UI Symbol" w:cs="Segoe UI Symbol"/>
          <w:bCs/>
          <w:sz w:val="24"/>
          <w:szCs w:val="24"/>
        </w:rPr>
        <w:t>☐</w:t>
      </w:r>
      <w:r w:rsidRPr="003E6E99">
        <w:rPr>
          <w:rFonts w:ascii="Times New Roman" w:hAnsi="Times New Roman"/>
          <w:bCs/>
          <w:sz w:val="24"/>
          <w:szCs w:val="24"/>
        </w:rPr>
        <w:t xml:space="preserve">  Nepiedalīsimies, jo nav intereses par šo iepirkumu;</w:t>
      </w:r>
    </w:p>
    <w:p w14:paraId="0CB2B4A0" w14:textId="77777777" w:rsidR="003E6E99" w:rsidRPr="003E6E99" w:rsidRDefault="003E6E99" w:rsidP="00FE0B96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3E6E99">
        <w:rPr>
          <w:rFonts w:ascii="Segoe UI Symbol" w:hAnsi="Segoe UI Symbol" w:cs="Segoe UI Symbol"/>
          <w:bCs/>
          <w:sz w:val="24"/>
          <w:szCs w:val="24"/>
        </w:rPr>
        <w:t>☐</w:t>
      </w:r>
      <w:r w:rsidRPr="003E6E99">
        <w:rPr>
          <w:rFonts w:ascii="Times New Roman" w:hAnsi="Times New Roman"/>
          <w:bCs/>
          <w:sz w:val="24"/>
          <w:szCs w:val="24"/>
        </w:rPr>
        <w:t xml:space="preserve">  Cits variants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9405"/>
      </w:tblGrid>
      <w:tr w:rsidR="001C25C2" w14:paraId="2B4EB745" w14:textId="77777777" w:rsidTr="0060264E">
        <w:trPr>
          <w:trHeight w:val="567"/>
        </w:trPr>
        <w:tc>
          <w:tcPr>
            <w:tcW w:w="9405" w:type="dxa"/>
            <w:vAlign w:val="center"/>
          </w:tcPr>
          <w:p w14:paraId="2DA4BBE4" w14:textId="77777777" w:rsidR="001C25C2" w:rsidRPr="001C25C2" w:rsidRDefault="001C25C2" w:rsidP="001C25C2">
            <w:pPr>
              <w:spacing w:before="240" w:after="12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C25C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Ja atzīmējāt “Cits variants” lūdzu paskaidrojiet savu atbildi.</w:t>
            </w:r>
          </w:p>
          <w:p w14:paraId="187A6A5A" w14:textId="77777777" w:rsidR="001C25C2" w:rsidRDefault="001C25C2" w:rsidP="001C25C2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26D4F8E" w14:textId="22DA39D4" w:rsidR="005D1BC8" w:rsidRPr="0060794F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8A2037">
        <w:rPr>
          <w:rFonts w:ascii="Times New Roman" w:hAnsi="Times New Roman"/>
          <w:b/>
          <w:bCs/>
          <w:szCs w:val="24"/>
        </w:rPr>
        <w:t>2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Pr="008A2037">
        <w:rPr>
          <w:rFonts w:ascii="Times New Roman" w:hAnsi="Times New Roman"/>
          <w:b/>
          <w:bCs/>
          <w:szCs w:val="24"/>
        </w:rPr>
        <w:t xml:space="preserve">Esam iepazinušies ar </w:t>
      </w:r>
      <w:r w:rsidR="00F5419E">
        <w:rPr>
          <w:rFonts w:ascii="Times New Roman" w:hAnsi="Times New Roman"/>
          <w:b/>
          <w:bCs/>
          <w:szCs w:val="24"/>
        </w:rPr>
        <w:t>projektēšanas uzdevumu</w:t>
      </w:r>
      <w:r w:rsidRPr="008A2037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503BBB12" w:rsidR="005D1BC8" w:rsidRDefault="00BB149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Izpildāmu un tās saturs ir pietiekams, lai iesniegtu piedāvājumu;</w:t>
      </w:r>
    </w:p>
    <w:p w14:paraId="626438B8" w14:textId="00A18A1A" w:rsidR="005D1BC8" w:rsidRDefault="00BB149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60264E">
        <w:trPr>
          <w:trHeight w:val="1191"/>
          <w:jc w:val="center"/>
        </w:trPr>
        <w:tc>
          <w:tcPr>
            <w:tcW w:w="9209" w:type="dxa"/>
            <w:vAlign w:val="center"/>
          </w:tcPr>
          <w:p w14:paraId="7FD1F4A3" w14:textId="217A2FFE" w:rsidR="005D1BC8" w:rsidRPr="0060264E" w:rsidRDefault="005D1BC8" w:rsidP="0060264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B10D1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 w:rsidR="00E56641" w:rsidRPr="002B10D1">
              <w:rPr>
                <w:rFonts w:ascii="Times New Roman" w:hAnsi="Times New Roman"/>
                <w:i/>
                <w:iCs/>
                <w:szCs w:val="24"/>
              </w:rPr>
              <w:t>projektēšanas uzdevums</w:t>
            </w:r>
            <w:r w:rsidRPr="002B10D1">
              <w:rPr>
                <w:rFonts w:ascii="Times New Roman" w:hAnsi="Times New Roman"/>
                <w:i/>
                <w:iCs/>
                <w:szCs w:val="24"/>
              </w:rPr>
              <w:t xml:space="preserve"> ir pilnveidojam</w:t>
            </w:r>
            <w:r w:rsidR="0051127B" w:rsidRPr="002B10D1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2B10D1">
              <w:rPr>
                <w:rFonts w:ascii="Times New Roman" w:hAnsi="Times New Roman"/>
                <w:i/>
                <w:iCs/>
                <w:szCs w:val="24"/>
              </w:rPr>
              <w:t>, lūdzu norādiet, ko tieši nepieciešams pilnveidot vai kāda informācija ir neskaidra vai nepietiekoša.</w:t>
            </w:r>
          </w:p>
        </w:tc>
      </w:tr>
    </w:tbl>
    <w:p w14:paraId="1EF225DB" w14:textId="4AB4E86D" w:rsidR="008A0F83" w:rsidRDefault="00876139" w:rsidP="0087613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b/>
          <w:bCs/>
          <w:szCs w:val="24"/>
        </w:rPr>
        <w:t>Būv</w:t>
      </w:r>
      <w:r w:rsidR="001318D8">
        <w:rPr>
          <w:rFonts w:ascii="Times New Roman" w:hAnsi="Times New Roman"/>
          <w:b/>
          <w:bCs/>
          <w:szCs w:val="24"/>
        </w:rPr>
        <w:t>projekta</w:t>
      </w:r>
      <w:r>
        <w:rPr>
          <w:rFonts w:ascii="Times New Roman" w:hAnsi="Times New Roman"/>
          <w:b/>
          <w:bCs/>
          <w:szCs w:val="24"/>
        </w:rPr>
        <w:t xml:space="preserve"> veicēja pieredze</w:t>
      </w:r>
      <w:r w:rsidR="005B46C3">
        <w:rPr>
          <w:rFonts w:ascii="Times New Roman" w:hAnsi="Times New Roman"/>
          <w:b/>
          <w:bCs/>
          <w:szCs w:val="24"/>
        </w:rPr>
        <w:t>:</w:t>
      </w:r>
    </w:p>
    <w:p w14:paraId="3F069003" w14:textId="47E8E0F5" w:rsidR="00876139" w:rsidRPr="005B46C3" w:rsidRDefault="005B46C3" w:rsidP="0087613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  <w:r w:rsidR="00876139" w:rsidRPr="00511FA6">
        <w:rPr>
          <w:rFonts w:ascii="Times New Roman" w:hAnsi="Times New Roman"/>
          <w:szCs w:val="24"/>
        </w:rPr>
        <w:t xml:space="preserve">Jāuzskaita iepriekšējos 5 (piecos) gados </w:t>
      </w:r>
      <w:r w:rsidR="0096255C">
        <w:rPr>
          <w:rFonts w:ascii="Times New Roman" w:hAnsi="Times New Roman"/>
          <w:szCs w:val="24"/>
        </w:rPr>
        <w:t>izstrādātie</w:t>
      </w:r>
      <w:r w:rsidR="00876139" w:rsidRPr="00511FA6">
        <w:rPr>
          <w:rFonts w:ascii="Times New Roman" w:hAnsi="Times New Roman"/>
          <w:szCs w:val="24"/>
        </w:rPr>
        <w:t xml:space="preserve">, ne vairāk kā 5 (pieci) </w:t>
      </w:r>
      <w:r w:rsidR="005A1758">
        <w:rPr>
          <w:rFonts w:ascii="Times New Roman" w:hAnsi="Times New Roman"/>
          <w:szCs w:val="24"/>
        </w:rPr>
        <w:t>būvprojekti</w:t>
      </w:r>
    </w:p>
    <w:p w14:paraId="6DDB01EE" w14:textId="48EC8C0B" w:rsidR="00610B52" w:rsidRPr="00557E37" w:rsidRDefault="008C09B1" w:rsidP="0081777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557E37">
        <w:rPr>
          <w:rFonts w:ascii="Times New Roman" w:hAnsi="Times New Roman"/>
          <w:szCs w:val="24"/>
        </w:rPr>
        <w:t>3.3.1.</w:t>
      </w:r>
      <w:r w:rsidR="00876139" w:rsidRPr="00557E37">
        <w:rPr>
          <w:rFonts w:ascii="Times New Roman" w:hAnsi="Times New Roman"/>
          <w:szCs w:val="24"/>
        </w:rPr>
        <w:t xml:space="preserve">Jānorāda, vai </w:t>
      </w:r>
      <w:r w:rsidR="007B6912" w:rsidRPr="00557E37">
        <w:rPr>
          <w:rFonts w:ascii="Times New Roman" w:hAnsi="Times New Roman"/>
          <w:szCs w:val="24"/>
        </w:rPr>
        <w:t>projektētājam</w:t>
      </w:r>
      <w:r w:rsidR="00876139" w:rsidRPr="00557E37">
        <w:rPr>
          <w:rFonts w:ascii="Times New Roman" w:hAnsi="Times New Roman"/>
          <w:szCs w:val="24"/>
        </w:rPr>
        <w:t xml:space="preserve"> vai tā piesaistītajiem apakšuzņēmējiem ir pieredze</w:t>
      </w:r>
      <w:r w:rsidR="001F1ACC" w:rsidRPr="00557E37">
        <w:rPr>
          <w:rFonts w:ascii="Times New Roman" w:hAnsi="Times New Roman"/>
          <w:szCs w:val="24"/>
        </w:rPr>
        <w:t xml:space="preserve"> būvprojektu izstrādē</w:t>
      </w:r>
      <w:r w:rsidR="00DA4681" w:rsidRPr="00557E37">
        <w:rPr>
          <w:rFonts w:ascii="Times New Roman" w:hAnsi="Times New Roman"/>
          <w:szCs w:val="24"/>
        </w:rPr>
        <w:t xml:space="preserve"> </w:t>
      </w:r>
      <w:r w:rsidR="007C0480" w:rsidRPr="00557E37">
        <w:rPr>
          <w:rFonts w:ascii="Times New Roman" w:hAnsi="Times New Roman"/>
          <w:szCs w:val="24"/>
        </w:rPr>
        <w:t>ēk</w:t>
      </w:r>
      <w:r w:rsidR="001F1ACC" w:rsidRPr="00557E37">
        <w:rPr>
          <w:rFonts w:ascii="Times New Roman" w:hAnsi="Times New Roman"/>
          <w:szCs w:val="24"/>
        </w:rPr>
        <w:t>ām</w:t>
      </w:r>
      <w:r w:rsidR="0025388C" w:rsidRPr="00557E37">
        <w:rPr>
          <w:rFonts w:ascii="Times New Roman" w:hAnsi="Times New Roman"/>
          <w:szCs w:val="24"/>
        </w:rPr>
        <w:t>, kurās i</w:t>
      </w:r>
      <w:r w:rsidR="007E4C44" w:rsidRPr="00557E37">
        <w:rPr>
          <w:rFonts w:ascii="Times New Roman" w:hAnsi="Times New Roman"/>
          <w:szCs w:val="24"/>
        </w:rPr>
        <w:t>r</w:t>
      </w:r>
      <w:r w:rsidR="007C0480" w:rsidRPr="00557E37">
        <w:rPr>
          <w:rFonts w:ascii="Times New Roman" w:hAnsi="Times New Roman"/>
          <w:szCs w:val="24"/>
        </w:rPr>
        <w:t xml:space="preserve"> </w:t>
      </w:r>
      <w:r w:rsidR="00843A5E" w:rsidRPr="00557E37">
        <w:rPr>
          <w:rFonts w:ascii="Times New Roman" w:hAnsi="Times New Roman"/>
          <w:szCs w:val="24"/>
        </w:rPr>
        <w:t>ar</w:t>
      </w:r>
      <w:r w:rsidR="007C0480" w:rsidRPr="00557E37">
        <w:rPr>
          <w:rFonts w:ascii="Times New Roman" w:hAnsi="Times New Roman"/>
          <w:szCs w:val="24"/>
        </w:rPr>
        <w:t xml:space="preserve"> iekšēj</w:t>
      </w:r>
      <w:r w:rsidR="00526FAE" w:rsidRPr="00557E37">
        <w:rPr>
          <w:rFonts w:ascii="Times New Roman" w:hAnsi="Times New Roman"/>
          <w:szCs w:val="24"/>
        </w:rPr>
        <w:t>ie</w:t>
      </w:r>
      <w:r w:rsidR="007C0480" w:rsidRPr="00557E37">
        <w:rPr>
          <w:rFonts w:ascii="Times New Roman" w:hAnsi="Times New Roman"/>
          <w:szCs w:val="24"/>
        </w:rPr>
        <w:t xml:space="preserve"> </w:t>
      </w:r>
      <w:r w:rsidR="00723ABF" w:rsidRPr="00557E37">
        <w:rPr>
          <w:rFonts w:ascii="Times New Roman" w:hAnsi="Times New Roman"/>
          <w:szCs w:val="24"/>
        </w:rPr>
        <w:t>i</w:t>
      </w:r>
      <w:r w:rsidR="008A6978" w:rsidRPr="00557E37">
        <w:rPr>
          <w:rFonts w:ascii="Times New Roman" w:hAnsi="Times New Roman"/>
          <w:szCs w:val="24"/>
        </w:rPr>
        <w:t>n</w:t>
      </w:r>
      <w:r w:rsidR="00723ABF" w:rsidRPr="00557E37">
        <w:rPr>
          <w:rFonts w:ascii="Times New Roman" w:hAnsi="Times New Roman"/>
          <w:szCs w:val="24"/>
        </w:rPr>
        <w:t>ženiertīk</w:t>
      </w:r>
      <w:r w:rsidR="00926081" w:rsidRPr="00557E37">
        <w:rPr>
          <w:rFonts w:ascii="Times New Roman" w:hAnsi="Times New Roman"/>
          <w:szCs w:val="24"/>
        </w:rPr>
        <w:t>li</w:t>
      </w:r>
      <w:r w:rsidR="00876139" w:rsidRPr="00557E37">
        <w:rPr>
          <w:rFonts w:ascii="Times New Roman" w:hAnsi="Times New Roman"/>
          <w:szCs w:val="24"/>
        </w:rPr>
        <w:t xml:space="preserve"> izbūve</w:t>
      </w:r>
      <w:r w:rsidR="00557E37" w:rsidRPr="00557E37">
        <w:rPr>
          <w:rFonts w:ascii="Times New Roman" w:hAnsi="Times New Roman"/>
          <w:szCs w:val="24"/>
        </w:rPr>
        <w:t>i</w:t>
      </w:r>
      <w:r w:rsidR="00876139" w:rsidRPr="00557E37">
        <w:rPr>
          <w:rFonts w:ascii="Times New Roman" w:hAnsi="Times New Roman"/>
          <w:szCs w:val="24"/>
        </w:rPr>
        <w:t xml:space="preserve">, </w:t>
      </w:r>
      <w:r w:rsidR="007E4C44" w:rsidRPr="00557E37">
        <w:rPr>
          <w:rFonts w:ascii="Times New Roman" w:hAnsi="Times New Roman"/>
          <w:szCs w:val="24"/>
        </w:rPr>
        <w:t xml:space="preserve">to </w:t>
      </w:r>
      <w:r w:rsidR="00876139" w:rsidRPr="00557E37">
        <w:rPr>
          <w:rFonts w:ascii="Times New Roman" w:hAnsi="Times New Roman"/>
          <w:szCs w:val="24"/>
        </w:rPr>
        <w:t>pārbūve</w:t>
      </w:r>
      <w:r w:rsidR="00526FAE" w:rsidRPr="00557E37">
        <w:rPr>
          <w:rFonts w:ascii="Times New Roman" w:hAnsi="Times New Roman"/>
          <w:szCs w:val="24"/>
        </w:rPr>
        <w:t>i</w:t>
      </w:r>
      <w:r w:rsidR="00B6545A" w:rsidRPr="00557E37">
        <w:rPr>
          <w:rFonts w:ascii="Times New Roman" w:hAnsi="Times New Roman"/>
          <w:szCs w:val="24"/>
        </w:rPr>
        <w:t xml:space="preserve"> </w:t>
      </w:r>
      <w:r w:rsidR="00876139" w:rsidRPr="00557E37">
        <w:rPr>
          <w:rFonts w:ascii="Times New Roman" w:hAnsi="Times New Roman"/>
          <w:szCs w:val="24"/>
        </w:rPr>
        <w:t>vai atjaunošana</w:t>
      </w:r>
      <w:r w:rsidR="00526FAE" w:rsidRPr="00557E37">
        <w:rPr>
          <w:rFonts w:ascii="Times New Roman" w:hAnsi="Times New Roman"/>
          <w:szCs w:val="24"/>
        </w:rPr>
        <w:t>i</w:t>
      </w:r>
      <w:r w:rsidR="00876139" w:rsidRPr="00557E37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145"/>
        <w:gridCol w:w="2291"/>
        <w:gridCol w:w="2236"/>
        <w:gridCol w:w="1668"/>
        <w:gridCol w:w="1402"/>
      </w:tblGrid>
      <w:tr w:rsidR="00822C8B" w:rsidRPr="002737BF" w14:paraId="28D6D68E" w14:textId="77777777" w:rsidTr="00D7224D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40FD42" w14:textId="13D51A55" w:rsidR="00822C8B" w:rsidRPr="002737BF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</w:p>
        </w:tc>
        <w:tc>
          <w:tcPr>
            <w:tcW w:w="613" w:type="pct"/>
            <w:shd w:val="clear" w:color="auto" w:fill="DEEAF6"/>
            <w:vAlign w:val="center"/>
          </w:tcPr>
          <w:p w14:paraId="6D408E89" w14:textId="7FC1A8A7" w:rsidR="00822C8B" w:rsidRPr="002737BF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38" w:type="pct"/>
            <w:shd w:val="clear" w:color="auto" w:fill="DEEAF6"/>
            <w:vAlign w:val="center"/>
          </w:tcPr>
          <w:p w14:paraId="1CB96793" w14:textId="00E33175" w:rsidR="00822C8B" w:rsidRPr="002737BF" w:rsidRDefault="00EB1B9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60A91B7F" w14:textId="3F84A6B0" w:rsidR="00822C8B" w:rsidRPr="002737BF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Objekt</w:t>
            </w:r>
            <w:r>
              <w:rPr>
                <w:rFonts w:ascii="Times New Roman" w:hAnsi="Times New Roman" w:cs="Times New Roman"/>
                <w:b/>
                <w:lang w:eastAsia="ar-SA"/>
              </w:rPr>
              <w:t>a nosaukums</w:t>
            </w:r>
          </w:p>
        </w:tc>
        <w:tc>
          <w:tcPr>
            <w:tcW w:w="899" w:type="pct"/>
            <w:shd w:val="clear" w:color="auto" w:fill="DEEAF6"/>
            <w:vAlign w:val="center"/>
          </w:tcPr>
          <w:p w14:paraId="35131799" w14:textId="3D078435" w:rsidR="00822C8B" w:rsidRPr="002737BF" w:rsidRDefault="00822C8B" w:rsidP="00822C8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10B52">
              <w:rPr>
                <w:rFonts w:ascii="Times New Roman" w:hAnsi="Times New Roman" w:cs="Times New Roman"/>
                <w:b/>
                <w:lang w:eastAsia="ar-SA"/>
              </w:rPr>
              <w:t xml:space="preserve">Līgumcena </w:t>
            </w:r>
            <w:r w:rsidR="003A6C4C" w:rsidRPr="00610B52">
              <w:rPr>
                <w:rFonts w:ascii="Times New Roman" w:hAnsi="Times New Roman" w:cs="Times New Roman"/>
                <w:b/>
                <w:lang w:eastAsia="ar-SA"/>
              </w:rPr>
              <w:t>EUR bez PVN</w:t>
            </w:r>
          </w:p>
        </w:tc>
        <w:tc>
          <w:tcPr>
            <w:tcW w:w="725" w:type="pct"/>
            <w:shd w:val="clear" w:color="auto" w:fill="DEEAF6"/>
            <w:vAlign w:val="center"/>
          </w:tcPr>
          <w:p w14:paraId="54390918" w14:textId="77777777" w:rsidR="00E24450" w:rsidRDefault="00E24450" w:rsidP="00DD05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</w:t>
            </w:r>
          </w:p>
          <w:p w14:paraId="5290CF8C" w14:textId="020D5315" w:rsidR="00822C8B" w:rsidRPr="002737BF" w:rsidRDefault="00822C8B" w:rsidP="00DD05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</w:tr>
      <w:tr w:rsidR="00822C8B" w:rsidRPr="00C56E21" w14:paraId="11553F2B" w14:textId="77777777" w:rsidTr="00D7224D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4F1D336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5C409F59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pct"/>
          </w:tcPr>
          <w:p w14:paraId="35ECA4A0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362E0647" w14:textId="21402C35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14:paraId="0CC102C9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1EB3AFAE" w14:textId="77943BA4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2C8B" w:rsidRPr="00C56E21" w14:paraId="4E1DCDE4" w14:textId="77777777" w:rsidTr="00D7224D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C03979C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30DC43D1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pct"/>
          </w:tcPr>
          <w:p w14:paraId="0D22846B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003EA809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14:paraId="485DF121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7EC1065B" w14:textId="5CB5DFF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2C8B" w:rsidRPr="00C56E21" w14:paraId="45F0E4B8" w14:textId="77777777" w:rsidTr="00D7224D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C9E4EE0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7044BD04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pct"/>
          </w:tcPr>
          <w:p w14:paraId="181433E6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5A17B254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14:paraId="6F84A891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5A212E0F" w14:textId="3978EF64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2C8B" w:rsidRPr="00C56E21" w14:paraId="4D1046B0" w14:textId="77777777" w:rsidTr="00D7224D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15009A0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068E22C9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pct"/>
          </w:tcPr>
          <w:p w14:paraId="15D91C77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525B17C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14:paraId="63D560CB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5216BAFC" w14:textId="2984B9B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2C8B" w:rsidRPr="00C56E21" w14:paraId="7F8216C9" w14:textId="77777777" w:rsidTr="00D7224D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18C88F3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676EBC13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pct"/>
          </w:tcPr>
          <w:p w14:paraId="1E321107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01C3F125" w14:textId="77777777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14:paraId="04F4BD95" w14:textId="2D4F7FE6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5506C360" w14:textId="5FB384A6" w:rsidR="00822C8B" w:rsidRPr="00C56E21" w:rsidRDefault="00822C8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20E457E" w14:textId="2BD816BB" w:rsidR="00D7224D" w:rsidRPr="00E13F6E" w:rsidRDefault="008C09B1" w:rsidP="008C09B1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E13F6E">
        <w:rPr>
          <w:rFonts w:ascii="Times New Roman" w:hAnsi="Times New Roman"/>
          <w:szCs w:val="24"/>
        </w:rPr>
        <w:t>3.3.2.</w:t>
      </w:r>
      <w:r w:rsidR="00D7224D" w:rsidRPr="00E13F6E">
        <w:rPr>
          <w:rFonts w:ascii="Times New Roman" w:hAnsi="Times New Roman"/>
          <w:szCs w:val="24"/>
        </w:rPr>
        <w:t xml:space="preserve">Jānorāda, vai </w:t>
      </w:r>
      <w:r w:rsidR="000D168A" w:rsidRPr="00E13F6E">
        <w:rPr>
          <w:rFonts w:ascii="Times New Roman" w:hAnsi="Times New Roman"/>
          <w:szCs w:val="24"/>
        </w:rPr>
        <w:t>projektē</w:t>
      </w:r>
      <w:r w:rsidR="00DC36D5" w:rsidRPr="00E13F6E">
        <w:rPr>
          <w:rFonts w:ascii="Times New Roman" w:hAnsi="Times New Roman"/>
          <w:szCs w:val="24"/>
        </w:rPr>
        <w:t>tājam</w:t>
      </w:r>
      <w:r w:rsidR="00D7224D" w:rsidRPr="00E13F6E">
        <w:rPr>
          <w:rFonts w:ascii="Times New Roman" w:hAnsi="Times New Roman"/>
          <w:szCs w:val="24"/>
        </w:rPr>
        <w:t xml:space="preserve"> vai tā piesaistītajiem apakšuzņēmējiem ir pieredze</w:t>
      </w:r>
      <w:r w:rsidR="00FC4F6B" w:rsidRPr="00E13F6E">
        <w:rPr>
          <w:rFonts w:ascii="Times New Roman" w:hAnsi="Times New Roman"/>
          <w:szCs w:val="24"/>
        </w:rPr>
        <w:t xml:space="preserve"> būvprojekta izstrādē</w:t>
      </w:r>
      <w:r w:rsidR="00D7224D" w:rsidRPr="00E13F6E">
        <w:rPr>
          <w:rFonts w:ascii="Times New Roman" w:hAnsi="Times New Roman"/>
          <w:szCs w:val="24"/>
        </w:rPr>
        <w:t xml:space="preserve"> </w:t>
      </w:r>
      <w:r w:rsidR="00016ED0" w:rsidRPr="00E13F6E">
        <w:rPr>
          <w:rFonts w:ascii="Times New Roman" w:hAnsi="Times New Roman"/>
          <w:szCs w:val="24"/>
        </w:rPr>
        <w:t xml:space="preserve">iekšējo un ārējo elektroapgādes </w:t>
      </w:r>
      <w:r w:rsidR="00A957AD" w:rsidRPr="00E13F6E">
        <w:rPr>
          <w:rFonts w:ascii="Times New Roman" w:hAnsi="Times New Roman"/>
          <w:szCs w:val="24"/>
        </w:rPr>
        <w:t xml:space="preserve">tīklu </w:t>
      </w:r>
      <w:r w:rsidR="00A91E19" w:rsidRPr="00E13F6E">
        <w:rPr>
          <w:rFonts w:ascii="Times New Roman" w:hAnsi="Times New Roman"/>
          <w:szCs w:val="24"/>
        </w:rPr>
        <w:t>ierīkošan</w:t>
      </w:r>
      <w:r w:rsidR="004D754E" w:rsidRPr="00E13F6E">
        <w:rPr>
          <w:rFonts w:ascii="Times New Roman" w:hAnsi="Times New Roman"/>
          <w:szCs w:val="24"/>
        </w:rPr>
        <w:t>ai</w:t>
      </w:r>
      <w:r w:rsidR="008808C8" w:rsidRPr="00E13F6E">
        <w:rPr>
          <w:rFonts w:ascii="Times New Roman" w:hAnsi="Times New Roman"/>
          <w:szCs w:val="24"/>
        </w:rPr>
        <w:t xml:space="preserve"> vai atjaunošan</w:t>
      </w:r>
      <w:r w:rsidR="004D754E" w:rsidRPr="00E13F6E">
        <w:rPr>
          <w:rFonts w:ascii="Times New Roman" w:hAnsi="Times New Roman"/>
          <w:szCs w:val="24"/>
        </w:rPr>
        <w:t>ā</w:t>
      </w:r>
      <w:r w:rsidR="00D7224D" w:rsidRPr="00E13F6E">
        <w:rPr>
          <w:rFonts w:ascii="Times New Roman" w:hAnsi="Times New Roman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145"/>
        <w:gridCol w:w="2291"/>
        <w:gridCol w:w="2236"/>
        <w:gridCol w:w="1668"/>
        <w:gridCol w:w="1402"/>
      </w:tblGrid>
      <w:tr w:rsidR="00D7224D" w:rsidRPr="002737BF" w14:paraId="3786C7C9" w14:textId="77777777" w:rsidTr="0038222E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48726183" w14:textId="77777777" w:rsidR="00D7224D" w:rsidRPr="002737BF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13" w:type="pct"/>
            <w:shd w:val="clear" w:color="auto" w:fill="DEEAF6"/>
            <w:vAlign w:val="center"/>
          </w:tcPr>
          <w:p w14:paraId="6713B461" w14:textId="77777777" w:rsidR="00D7224D" w:rsidRPr="002737BF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38" w:type="pct"/>
            <w:shd w:val="clear" w:color="auto" w:fill="DEEAF6"/>
            <w:vAlign w:val="center"/>
          </w:tcPr>
          <w:p w14:paraId="79FBEC9D" w14:textId="72987E06" w:rsidR="00D7224D" w:rsidRPr="002737BF" w:rsidRDefault="001961EB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50B13B25" w14:textId="77777777" w:rsidR="00D7224D" w:rsidRPr="002737BF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Objekt</w:t>
            </w:r>
            <w:r>
              <w:rPr>
                <w:rFonts w:ascii="Times New Roman" w:hAnsi="Times New Roman" w:cs="Times New Roman"/>
                <w:b/>
                <w:lang w:eastAsia="ar-SA"/>
              </w:rPr>
              <w:t>a nosaukums</w:t>
            </w:r>
          </w:p>
        </w:tc>
        <w:tc>
          <w:tcPr>
            <w:tcW w:w="899" w:type="pct"/>
            <w:shd w:val="clear" w:color="auto" w:fill="DEEAF6"/>
            <w:vAlign w:val="center"/>
          </w:tcPr>
          <w:p w14:paraId="3A36DAE0" w14:textId="77777777" w:rsidR="00D7224D" w:rsidRPr="002737BF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10B52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</w:tc>
        <w:tc>
          <w:tcPr>
            <w:tcW w:w="725" w:type="pct"/>
            <w:shd w:val="clear" w:color="auto" w:fill="DEEAF6"/>
            <w:vAlign w:val="center"/>
          </w:tcPr>
          <w:p w14:paraId="1444E95B" w14:textId="77777777" w:rsidR="001961EB" w:rsidRDefault="001961EB" w:rsidP="001961E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</w:t>
            </w:r>
          </w:p>
          <w:p w14:paraId="65779472" w14:textId="180F0BD0" w:rsidR="00D7224D" w:rsidRPr="002737BF" w:rsidRDefault="00D7224D" w:rsidP="001961E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</w:tr>
      <w:tr w:rsidR="00D7224D" w:rsidRPr="00C56E21" w14:paraId="4E740FF7" w14:textId="77777777" w:rsidTr="0038222E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8AB32DA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6ACA9DF3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pct"/>
          </w:tcPr>
          <w:p w14:paraId="7A1A5B6D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60325104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14:paraId="055B005E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0F29B792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7224D" w:rsidRPr="00C56E21" w14:paraId="429D3CD9" w14:textId="77777777" w:rsidTr="0038222E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5954BD9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5B8BAADB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pct"/>
          </w:tcPr>
          <w:p w14:paraId="18268A66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99821AE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14:paraId="7C50D3A5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43D44D10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7224D" w:rsidRPr="00C56E21" w14:paraId="533F2FCC" w14:textId="77777777" w:rsidTr="0038222E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5342919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5D197CDF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pct"/>
          </w:tcPr>
          <w:p w14:paraId="35D85A38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809DCB4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14:paraId="3D64AE5F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5A824934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7224D" w:rsidRPr="00C56E21" w14:paraId="7401115B" w14:textId="77777777" w:rsidTr="0038222E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A199221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0207E0D9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pct"/>
          </w:tcPr>
          <w:p w14:paraId="034984AE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3673C242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14:paraId="11F02D8D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4610224F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7224D" w:rsidRPr="00C56E21" w14:paraId="063F5BB7" w14:textId="77777777" w:rsidTr="0038222E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803B609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716B5959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8" w:type="pct"/>
          </w:tcPr>
          <w:p w14:paraId="3E4FA29E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01E67D6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9" w:type="pct"/>
            <w:shd w:val="clear" w:color="auto" w:fill="auto"/>
            <w:vAlign w:val="bottom"/>
          </w:tcPr>
          <w:p w14:paraId="79822773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shd w:val="clear" w:color="auto" w:fill="auto"/>
            <w:vAlign w:val="bottom"/>
          </w:tcPr>
          <w:p w14:paraId="11305526" w14:textId="77777777" w:rsidR="00D7224D" w:rsidRPr="00C56E21" w:rsidRDefault="00D7224D" w:rsidP="003822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205239C" w14:textId="49430ADF" w:rsidR="005D1BC8" w:rsidRPr="00330843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330843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773E70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330843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FE287F">
        <w:rPr>
          <w:rFonts w:ascii="Times New Roman" w:hAnsi="Times New Roman"/>
          <w:b/>
          <w:bCs/>
          <w:color w:val="000000" w:themeColor="text1"/>
          <w:szCs w:val="24"/>
        </w:rPr>
        <w:t>T</w:t>
      </w:r>
      <w:r w:rsidR="004D2A89" w:rsidRPr="00330843">
        <w:rPr>
          <w:rFonts w:ascii="Times New Roman" w:hAnsi="Times New Roman"/>
          <w:b/>
          <w:bCs/>
          <w:color w:val="000000" w:themeColor="text1"/>
          <w:szCs w:val="24"/>
        </w:rPr>
        <w:t>iesības sniegt pakalpojumu</w:t>
      </w:r>
      <w:r w:rsidRPr="00330843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7A33F69A" w14:textId="287F4F69" w:rsidR="005D1BC8" w:rsidRPr="00330843" w:rsidRDefault="00BB149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30843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330843">
        <w:rPr>
          <w:rFonts w:ascii="Times New Roman" w:hAnsi="Times New Roman"/>
          <w:color w:val="000000" w:themeColor="text1"/>
          <w:szCs w:val="24"/>
        </w:rPr>
        <w:t xml:space="preserve"> </w:t>
      </w:r>
      <w:r w:rsidR="001564E2">
        <w:rPr>
          <w:rFonts w:ascii="Times New Roman" w:hAnsi="Times New Roman"/>
          <w:color w:val="000000" w:themeColor="text1"/>
          <w:szCs w:val="24"/>
        </w:rPr>
        <w:t>Pretendentam</w:t>
      </w:r>
      <w:r w:rsidR="00855C82" w:rsidRPr="00330843">
        <w:rPr>
          <w:rFonts w:ascii="Times New Roman" w:hAnsi="Times New Roman"/>
          <w:color w:val="000000" w:themeColor="text1"/>
          <w:szCs w:val="24"/>
        </w:rPr>
        <w:t xml:space="preserve"> </w:t>
      </w:r>
      <w:r w:rsidR="00A537DB" w:rsidRPr="00330843">
        <w:rPr>
          <w:rFonts w:ascii="Times New Roman" w:hAnsi="Times New Roman"/>
          <w:color w:val="000000" w:themeColor="text1"/>
          <w:szCs w:val="24"/>
        </w:rPr>
        <w:t xml:space="preserve">ir tiesības </w:t>
      </w:r>
      <w:r w:rsidR="00EE728E" w:rsidRPr="00330843">
        <w:rPr>
          <w:rFonts w:ascii="Times New Roman" w:hAnsi="Times New Roman"/>
          <w:color w:val="000000" w:themeColor="text1"/>
          <w:szCs w:val="24"/>
        </w:rPr>
        <w:t xml:space="preserve">veikt </w:t>
      </w:r>
      <w:r w:rsidR="008746A1" w:rsidRPr="00330843">
        <w:rPr>
          <w:rFonts w:ascii="Times New Roman" w:hAnsi="Times New Roman"/>
          <w:color w:val="000000" w:themeColor="text1"/>
          <w:szCs w:val="24"/>
        </w:rPr>
        <w:t>projektēšanas</w:t>
      </w:r>
      <w:r w:rsidR="004D6EDA">
        <w:rPr>
          <w:rFonts w:ascii="Times New Roman" w:hAnsi="Times New Roman"/>
          <w:color w:val="000000" w:themeColor="text1"/>
          <w:szCs w:val="24"/>
        </w:rPr>
        <w:t xml:space="preserve"> darbus un</w:t>
      </w:r>
      <w:r w:rsidR="009344D1">
        <w:rPr>
          <w:rFonts w:ascii="Times New Roman" w:hAnsi="Times New Roman"/>
          <w:color w:val="000000" w:themeColor="text1"/>
          <w:szCs w:val="24"/>
        </w:rPr>
        <w:t xml:space="preserve"> </w:t>
      </w:r>
      <w:r w:rsidR="002737BF" w:rsidRPr="00330843">
        <w:rPr>
          <w:rFonts w:ascii="Times New Roman" w:hAnsi="Times New Roman"/>
          <w:color w:val="000000" w:themeColor="text1"/>
          <w:szCs w:val="24"/>
        </w:rPr>
        <w:t>autoruzraudzīb</w:t>
      </w:r>
      <w:r w:rsidR="004D6EDA">
        <w:rPr>
          <w:rFonts w:ascii="Times New Roman" w:hAnsi="Times New Roman"/>
          <w:color w:val="000000" w:themeColor="text1"/>
          <w:szCs w:val="24"/>
        </w:rPr>
        <w:t>u</w:t>
      </w:r>
      <w:r w:rsidR="00EE728E" w:rsidRPr="00330843">
        <w:rPr>
          <w:rFonts w:ascii="Times New Roman" w:hAnsi="Times New Roman"/>
          <w:color w:val="000000" w:themeColor="text1"/>
          <w:szCs w:val="24"/>
        </w:rPr>
        <w:t xml:space="preserve"> </w:t>
      </w:r>
      <w:r w:rsidR="005501B2">
        <w:rPr>
          <w:rFonts w:ascii="Times New Roman" w:hAnsi="Times New Roman"/>
          <w:color w:val="000000" w:themeColor="text1"/>
          <w:szCs w:val="24"/>
        </w:rPr>
        <w:t xml:space="preserve">šādā </w:t>
      </w:r>
      <w:r w:rsidR="008746A1" w:rsidRPr="00330843">
        <w:rPr>
          <w:rFonts w:ascii="Times New Roman" w:hAnsi="Times New Roman"/>
          <w:color w:val="000000" w:themeColor="text1"/>
          <w:szCs w:val="24"/>
        </w:rPr>
        <w:t>jomā</w:t>
      </w:r>
      <w:r w:rsidR="00CF0A32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30843" w:rsidRPr="00330843" w14:paraId="1187CFFF" w14:textId="77777777" w:rsidTr="00330A47">
        <w:trPr>
          <w:cantSplit/>
          <w:trHeight w:val="556"/>
        </w:trPr>
        <w:tc>
          <w:tcPr>
            <w:tcW w:w="5000" w:type="pct"/>
            <w:shd w:val="clear" w:color="auto" w:fill="DEEAF6"/>
            <w:vAlign w:val="center"/>
          </w:tcPr>
          <w:p w14:paraId="76F10A35" w14:textId="27ADE183" w:rsidR="00330A47" w:rsidRPr="00330843" w:rsidRDefault="00330A4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33084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Būvkomersanta darbības sfēra</w:t>
            </w:r>
          </w:p>
        </w:tc>
      </w:tr>
      <w:tr w:rsidR="00330A47" w:rsidRPr="00C56E21" w14:paraId="18C1C05D" w14:textId="77777777" w:rsidTr="00330A47">
        <w:trPr>
          <w:trHeight w:val="210"/>
        </w:trPr>
        <w:tc>
          <w:tcPr>
            <w:tcW w:w="5000" w:type="pct"/>
            <w:shd w:val="clear" w:color="auto" w:fill="auto"/>
            <w:vAlign w:val="bottom"/>
          </w:tcPr>
          <w:p w14:paraId="044AAD01" w14:textId="57B243EC" w:rsidR="00330A47" w:rsidRPr="00C56E21" w:rsidRDefault="00330A4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A3DC673" w14:textId="77777777" w:rsidR="00D75721" w:rsidRDefault="00D75721" w:rsidP="008A0F83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CF570EF" w14:textId="58AC967B" w:rsidR="003F365A" w:rsidRPr="002737BF" w:rsidRDefault="001A6882" w:rsidP="008A0F83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537F4D">
        <w:rPr>
          <w:rFonts w:ascii="Times New Roman" w:hAnsi="Times New Roman"/>
          <w:b/>
          <w:sz w:val="24"/>
          <w:szCs w:val="24"/>
        </w:rPr>
        <w:t>SPECIĀLISTI</w:t>
      </w:r>
    </w:p>
    <w:p w14:paraId="0BF273CB" w14:textId="57AB3376" w:rsidR="00F150DE" w:rsidRPr="00E641E6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CC482B">
        <w:rPr>
          <w:rFonts w:ascii="Times New Roman" w:hAnsi="Times New Roman"/>
          <w:b/>
          <w:bCs/>
          <w:szCs w:val="24"/>
        </w:rPr>
        <w:t>Pretendents</w:t>
      </w:r>
      <w:r w:rsidR="00E641E6">
        <w:rPr>
          <w:rFonts w:ascii="Times New Roman" w:hAnsi="Times New Roman"/>
          <w:b/>
          <w:bCs/>
          <w:szCs w:val="24"/>
        </w:rPr>
        <w:t xml:space="preserve"> </w:t>
      </w:r>
      <w:r w:rsidR="00F25309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0B16C5">
        <w:rPr>
          <w:rFonts w:ascii="Times New Roman" w:hAnsi="Times New Roman"/>
          <w:b/>
          <w:szCs w:val="24"/>
          <w:lang w:eastAsia="ar-SA"/>
        </w:rPr>
        <w:t xml:space="preserve"> </w:t>
      </w:r>
      <w:r w:rsidR="00F150DE" w:rsidRPr="00C56E21">
        <w:rPr>
          <w:rFonts w:ascii="Times New Roman" w:hAnsi="Times New Roman"/>
          <w:b/>
          <w:szCs w:val="24"/>
          <w:lang w:eastAsia="ar-SA"/>
        </w:rPr>
        <w:t>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96"/>
        <w:gridCol w:w="1556"/>
        <w:gridCol w:w="1984"/>
        <w:gridCol w:w="1558"/>
        <w:gridCol w:w="1519"/>
      </w:tblGrid>
      <w:tr w:rsidR="007C535E" w:rsidRPr="002737BF" w14:paraId="14F26D44" w14:textId="77777777" w:rsidTr="00D5153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6F50F6C7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72" w:type="pct"/>
            <w:shd w:val="clear" w:color="auto" w:fill="DEEAF6"/>
            <w:vAlign w:val="center"/>
          </w:tcPr>
          <w:p w14:paraId="2D4D4222" w14:textId="6CE7948C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Pienākumi </w:t>
            </w:r>
          </w:p>
        </w:tc>
        <w:tc>
          <w:tcPr>
            <w:tcW w:w="836" w:type="pct"/>
            <w:shd w:val="clear" w:color="auto" w:fill="DEEAF6"/>
            <w:vAlign w:val="center"/>
          </w:tcPr>
          <w:p w14:paraId="10182DCD" w14:textId="6CCFE7A6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</w:t>
            </w:r>
            <w:r w:rsidR="002737BF"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joma</w:t>
            </w:r>
          </w:p>
        </w:tc>
        <w:tc>
          <w:tcPr>
            <w:tcW w:w="1066" w:type="pct"/>
            <w:shd w:val="clear" w:color="auto" w:fill="DEEAF6"/>
            <w:vAlign w:val="center"/>
          </w:tcPr>
          <w:p w14:paraId="0AA1CE8B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7" w:type="pct"/>
            <w:shd w:val="clear" w:color="auto" w:fill="DEEAF6"/>
            <w:vAlign w:val="center"/>
          </w:tcPr>
          <w:p w14:paraId="7C7D5F64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816" w:type="pct"/>
            <w:shd w:val="clear" w:color="auto" w:fill="DEEAF6"/>
            <w:vAlign w:val="center"/>
          </w:tcPr>
          <w:p w14:paraId="4BA50660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7C535E" w:rsidRPr="00C56E21" w14:paraId="03565ECF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33567BC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002FF957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17D681D8" w14:textId="41BCB9C8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1B3FF01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7EE9A9A4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4C08A95E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535E" w:rsidRPr="00C56E21" w14:paraId="4133E51E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25FCABD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4F576C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6958BF77" w14:textId="0F4E7126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0CB6307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446DA9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3E18319B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3D68" w:rsidRPr="001B3D68" w14:paraId="14356B5A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73754D8C" w14:textId="77777777" w:rsidR="007C535E" w:rsidRPr="001B3D68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5ED6298A" w14:textId="77777777" w:rsidR="007C535E" w:rsidRPr="001B3D68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762CDB2F" w14:textId="54BFD834" w:rsidR="007C535E" w:rsidRPr="001B3D68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31E1867F" w14:textId="77777777" w:rsidR="007C535E" w:rsidRPr="001B3D68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33F189AF" w14:textId="77777777" w:rsidR="007C535E" w:rsidRPr="001B3D68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543BC65B" w14:textId="77777777" w:rsidR="007C535E" w:rsidRPr="001B3D68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5FCE6DD7" w:rsidR="00B5769B" w:rsidRDefault="003F365A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C8F184F" w:rsidR="00165AB3" w:rsidRDefault="00BB149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E5917">
        <w:rPr>
          <w:rFonts w:ascii="Times New Roman" w:hAnsi="Times New Roman"/>
          <w:szCs w:val="24"/>
        </w:rPr>
        <w:t xml:space="preserve"> </w:t>
      </w:r>
      <w:r w:rsidR="00165AB3">
        <w:rPr>
          <w:rFonts w:ascii="Times New Roman" w:hAnsi="Times New Roman"/>
          <w:szCs w:val="24"/>
        </w:rPr>
        <w:t xml:space="preserve">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4097D9E6" w:rsidR="00F150DE" w:rsidRPr="00C56E21" w:rsidRDefault="00BB149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46DFF51" w14:textId="77777777" w:rsidR="001B68F5" w:rsidRPr="00AA7E41" w:rsidRDefault="001B68F5" w:rsidP="001B68F5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A7E4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Piezīme:</w:t>
      </w:r>
      <w:r w:rsidRPr="00AA7E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sniegs pakalpojumus, kuru izpildei attiecīgās spējas ir nepieciešamas. </w:t>
      </w:r>
    </w:p>
    <w:p w14:paraId="6F690192" w14:textId="47E36BA7" w:rsidR="00875ADE" w:rsidRPr="00B930ED" w:rsidRDefault="007862A1" w:rsidP="00D5153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B930ED">
        <w:rPr>
          <w:rFonts w:ascii="Times New Roman" w:hAnsi="Times New Roman"/>
          <w:b/>
          <w:bCs/>
          <w:szCs w:val="24"/>
        </w:rPr>
        <w:t xml:space="preserve">5. </w:t>
      </w:r>
      <w:r w:rsidR="00FF2B2D" w:rsidRPr="00B930ED">
        <w:rPr>
          <w:rFonts w:ascii="Times New Roman" w:hAnsi="Times New Roman"/>
          <w:b/>
          <w:bCs/>
          <w:szCs w:val="24"/>
        </w:rPr>
        <w:t>PIEDĀVĀJUMS</w:t>
      </w:r>
    </w:p>
    <w:p w14:paraId="5450869E" w14:textId="35CE870D" w:rsidR="005865C0" w:rsidRDefault="00182C07" w:rsidP="005865C0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B930ED">
        <w:rPr>
          <w:rFonts w:ascii="Times New Roman" w:hAnsi="Times New Roman"/>
          <w:b/>
          <w:sz w:val="24"/>
          <w:szCs w:val="24"/>
        </w:rPr>
        <w:t>5</w:t>
      </w:r>
      <w:r w:rsidR="005865C0" w:rsidRPr="00B930ED">
        <w:rPr>
          <w:rFonts w:ascii="Times New Roman" w:hAnsi="Times New Roman"/>
          <w:b/>
          <w:sz w:val="24"/>
          <w:szCs w:val="24"/>
        </w:rPr>
        <w:t xml:space="preserve">.1. </w:t>
      </w:r>
      <w:r w:rsidRPr="00B930ED">
        <w:rPr>
          <w:rFonts w:ascii="Times New Roman" w:hAnsi="Times New Roman"/>
          <w:b/>
          <w:sz w:val="24"/>
          <w:szCs w:val="24"/>
        </w:rPr>
        <w:t>Paredzamais iepirkuma sadalījums pa daļām</w:t>
      </w:r>
      <w:r w:rsidR="00B930ED" w:rsidRPr="00B930ED">
        <w:rPr>
          <w:rFonts w:ascii="Times New Roman" w:hAnsi="Times New Roman"/>
          <w:b/>
          <w:sz w:val="24"/>
          <w:szCs w:val="24"/>
        </w:rPr>
        <w:t>*</w:t>
      </w:r>
    </w:p>
    <w:p w14:paraId="2FC3A461" w14:textId="5BB837B5" w:rsidR="00B64426" w:rsidRPr="00E219BE" w:rsidRDefault="004139A1" w:rsidP="000C6E2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9BE">
        <w:rPr>
          <w:rFonts w:ascii="Times New Roman" w:hAnsi="Times New Roman" w:cs="Times New Roman"/>
          <w:b/>
          <w:bCs/>
          <w:sz w:val="24"/>
          <w:szCs w:val="24"/>
          <w:u w:val="single"/>
        </w:rPr>
        <w:t>Piezīme</w:t>
      </w:r>
      <w:r w:rsidRPr="00E219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19BE" w:rsidRPr="00E21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426" w:rsidRPr="00E21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9BE" w:rsidRPr="00E219BE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B64426" w:rsidRPr="00E219BE">
        <w:rPr>
          <w:rFonts w:ascii="Times New Roman" w:hAnsi="Times New Roman" w:cs="Times New Roman"/>
          <w:b/>
          <w:bCs/>
          <w:sz w:val="24"/>
          <w:szCs w:val="24"/>
        </w:rPr>
        <w:t xml:space="preserve">obrīd projektēšanas uzdevums aptver </w:t>
      </w:r>
      <w:r w:rsidR="00E219BE" w:rsidRPr="00E219BE">
        <w:rPr>
          <w:rFonts w:ascii="Times New Roman" w:hAnsi="Times New Roman" w:cs="Times New Roman"/>
          <w:b/>
          <w:bCs/>
          <w:sz w:val="24"/>
          <w:szCs w:val="24"/>
        </w:rPr>
        <w:t>četrus</w:t>
      </w:r>
      <w:r w:rsidR="00B64426" w:rsidRPr="00E219BE">
        <w:rPr>
          <w:rFonts w:ascii="Times New Roman" w:hAnsi="Times New Roman" w:cs="Times New Roman"/>
          <w:b/>
          <w:bCs/>
          <w:sz w:val="24"/>
          <w:szCs w:val="24"/>
        </w:rPr>
        <w:t xml:space="preserve"> objektus. Pasūtītājs vēlas noskaidrot vai izpildes termiņā projektētāji var izstrādāt projektus visiem objektiem reizē vai tikai pa daļām</w:t>
      </w:r>
      <w:r w:rsidR="00E219BE" w:rsidRPr="00E219BE">
        <w:rPr>
          <w:rFonts w:ascii="Times New Roman" w:hAnsi="Times New Roman" w:cs="Times New Roman"/>
          <w:b/>
          <w:bCs/>
          <w:sz w:val="24"/>
          <w:szCs w:val="24"/>
        </w:rPr>
        <w:t>. Lūdzu atzīmējiet vai piedalīsieties visās vai tikai atsevišķās daļās</w:t>
      </w:r>
      <w:r w:rsidR="00E219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492EDF" w14:textId="46F66E9C" w:rsidR="005865C0" w:rsidRPr="00B930ED" w:rsidRDefault="005865C0" w:rsidP="006F75F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lv-LV"/>
        </w:rPr>
      </w:pPr>
      <w:r w:rsidRPr="00B930ED">
        <w:rPr>
          <w:rFonts w:ascii="Segoe UI Symbol" w:hAnsi="Segoe UI Symbol" w:cs="Segoe UI Symbol"/>
          <w:bCs/>
          <w:sz w:val="24"/>
          <w:szCs w:val="24"/>
        </w:rPr>
        <w:t>☐</w:t>
      </w:r>
      <w:r w:rsidRPr="00B930ED">
        <w:rPr>
          <w:rFonts w:ascii="Times New Roman" w:hAnsi="Times New Roman"/>
          <w:bCs/>
          <w:sz w:val="24"/>
          <w:szCs w:val="24"/>
        </w:rPr>
        <w:t xml:space="preserve">  </w:t>
      </w:r>
      <w:r w:rsidR="00181A45" w:rsidRPr="00B930ED">
        <w:rPr>
          <w:rFonts w:ascii="Times New Roman" w:hAnsi="Times New Roman"/>
          <w:bCs/>
          <w:sz w:val="24"/>
          <w:szCs w:val="24"/>
        </w:rPr>
        <w:t>I.</w:t>
      </w:r>
      <w:r w:rsidR="00B45A09" w:rsidRPr="00B930ED">
        <w:rPr>
          <w:rFonts w:ascii="Times New Roman" w:hAnsi="Times New Roman"/>
          <w:bCs/>
          <w:sz w:val="24"/>
          <w:szCs w:val="24"/>
        </w:rPr>
        <w:t xml:space="preserve"> </w:t>
      </w:r>
      <w:r w:rsidR="00181A45" w:rsidRPr="00B930ED">
        <w:rPr>
          <w:rFonts w:ascii="Times New Roman" w:hAnsi="Times New Roman"/>
          <w:bCs/>
          <w:sz w:val="24"/>
          <w:szCs w:val="24"/>
        </w:rPr>
        <w:t xml:space="preserve">daļa - </w:t>
      </w:r>
      <w:r w:rsidR="00815EE7" w:rsidRPr="00B930ED">
        <w:rPr>
          <w:rFonts w:ascii="Segoe UI" w:eastAsia="Times New Roman" w:hAnsi="Segoe UI" w:cs="Segoe UI"/>
          <w:sz w:val="24"/>
          <w:szCs w:val="24"/>
          <w:lang w:eastAsia="lv-LV"/>
        </w:rPr>
        <w:t>16.apakšstacijas Slokas ielā 54B ēkas atjaunošana / pārbūve, 10kV elektrolīnijas atjaunošana pa esošo trasi līdz AS “Sadales tīkls” apakšstacijai Nr.131 un apakšstacijas elektroiekārtu nomaiņa;</w:t>
      </w:r>
      <w:r w:rsidR="00815EE7" w:rsidRPr="00B930ED">
        <w:rPr>
          <w:rFonts w:ascii="Segoe UI" w:eastAsia="Times New Roman" w:hAnsi="Segoe UI" w:cs="Segoe UI"/>
          <w:sz w:val="21"/>
          <w:szCs w:val="21"/>
          <w:lang w:eastAsia="lv-LV"/>
        </w:rPr>
        <w:t xml:space="preserve"> </w:t>
      </w:r>
    </w:p>
    <w:p w14:paraId="7B6731A4" w14:textId="76FE3348" w:rsidR="006F75FD" w:rsidRPr="00B930ED" w:rsidRDefault="005865C0" w:rsidP="006F75F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lv-LV"/>
        </w:rPr>
      </w:pPr>
      <w:r w:rsidRPr="00B930ED">
        <w:rPr>
          <w:rFonts w:ascii="Segoe UI Symbol" w:hAnsi="Segoe UI Symbol" w:cs="Segoe UI Symbol"/>
          <w:bCs/>
          <w:sz w:val="24"/>
          <w:szCs w:val="24"/>
        </w:rPr>
        <w:t>☐</w:t>
      </w:r>
      <w:r w:rsidRPr="00B930ED">
        <w:rPr>
          <w:rFonts w:ascii="Times New Roman" w:hAnsi="Times New Roman"/>
          <w:bCs/>
          <w:sz w:val="24"/>
          <w:szCs w:val="24"/>
        </w:rPr>
        <w:t xml:space="preserve">  </w:t>
      </w:r>
      <w:r w:rsidR="004D4C37" w:rsidRPr="00B930ED">
        <w:rPr>
          <w:rFonts w:ascii="Times New Roman" w:hAnsi="Times New Roman"/>
          <w:bCs/>
          <w:sz w:val="24"/>
          <w:szCs w:val="24"/>
        </w:rPr>
        <w:t>II.</w:t>
      </w:r>
      <w:r w:rsidR="00B45A09" w:rsidRPr="00B930ED">
        <w:rPr>
          <w:rFonts w:ascii="Times New Roman" w:hAnsi="Times New Roman"/>
          <w:bCs/>
          <w:sz w:val="24"/>
          <w:szCs w:val="24"/>
        </w:rPr>
        <w:t xml:space="preserve"> </w:t>
      </w:r>
      <w:r w:rsidR="004D4C37" w:rsidRPr="00B930ED">
        <w:rPr>
          <w:rFonts w:ascii="Times New Roman" w:hAnsi="Times New Roman"/>
          <w:bCs/>
          <w:sz w:val="24"/>
          <w:szCs w:val="24"/>
        </w:rPr>
        <w:t xml:space="preserve">daļa - </w:t>
      </w:r>
      <w:r w:rsidR="006F75FD" w:rsidRPr="00B930ED">
        <w:rPr>
          <w:rFonts w:ascii="Segoe UI" w:eastAsia="Times New Roman" w:hAnsi="Segoe UI" w:cs="Segoe UI"/>
          <w:sz w:val="24"/>
          <w:szCs w:val="24"/>
          <w:lang w:eastAsia="lv-LV"/>
        </w:rPr>
        <w:t>4.apakšstacijas Abrenes ielā 13 ēkas atjaunošana / pārbūve, 4. un 15.apakšstacijas 10kV elektrolīniju atjaunošana pa esošo trasi līdz AS “Sadales tīkls” apakšstacijai Nr.111 un apakšstacijas elektroiekārtu nomaiņa;</w:t>
      </w:r>
      <w:r w:rsidR="006F75FD" w:rsidRPr="00B930ED">
        <w:rPr>
          <w:rFonts w:ascii="Segoe UI" w:eastAsia="Times New Roman" w:hAnsi="Segoe UI" w:cs="Segoe UI"/>
          <w:sz w:val="21"/>
          <w:szCs w:val="21"/>
          <w:lang w:eastAsia="lv-LV"/>
        </w:rPr>
        <w:t xml:space="preserve"> </w:t>
      </w:r>
    </w:p>
    <w:p w14:paraId="08DCBC53" w14:textId="11023E7B" w:rsidR="00181A45" w:rsidRPr="00B930ED" w:rsidRDefault="005865C0" w:rsidP="00181A4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lv-LV"/>
        </w:rPr>
      </w:pPr>
      <w:r w:rsidRPr="00B930ED">
        <w:rPr>
          <w:rFonts w:ascii="Segoe UI Symbol" w:hAnsi="Segoe UI Symbol" w:cs="Segoe UI Symbol"/>
          <w:bCs/>
          <w:sz w:val="24"/>
          <w:szCs w:val="24"/>
        </w:rPr>
        <w:t>☐</w:t>
      </w:r>
      <w:r w:rsidRPr="00B930ED">
        <w:rPr>
          <w:rFonts w:ascii="Times New Roman" w:hAnsi="Times New Roman"/>
          <w:bCs/>
          <w:sz w:val="24"/>
          <w:szCs w:val="24"/>
        </w:rPr>
        <w:t xml:space="preserve">  </w:t>
      </w:r>
      <w:r w:rsidR="004D4C37" w:rsidRPr="00B930ED">
        <w:rPr>
          <w:rFonts w:ascii="Times New Roman" w:hAnsi="Times New Roman"/>
          <w:bCs/>
          <w:sz w:val="24"/>
          <w:szCs w:val="24"/>
        </w:rPr>
        <w:t>III.</w:t>
      </w:r>
      <w:r w:rsidR="00B45A09" w:rsidRPr="00B930ED">
        <w:rPr>
          <w:rFonts w:ascii="Times New Roman" w:hAnsi="Times New Roman"/>
          <w:bCs/>
          <w:sz w:val="24"/>
          <w:szCs w:val="24"/>
        </w:rPr>
        <w:t xml:space="preserve"> </w:t>
      </w:r>
      <w:r w:rsidR="004D4C37" w:rsidRPr="00B930ED">
        <w:rPr>
          <w:rFonts w:ascii="Times New Roman" w:hAnsi="Times New Roman"/>
          <w:bCs/>
          <w:sz w:val="24"/>
          <w:szCs w:val="24"/>
        </w:rPr>
        <w:t xml:space="preserve">daļa - </w:t>
      </w:r>
      <w:r w:rsidR="00181A45" w:rsidRPr="00B930ED">
        <w:rPr>
          <w:rFonts w:ascii="Segoe UI" w:eastAsia="Times New Roman" w:hAnsi="Segoe UI" w:cs="Segoe UI"/>
          <w:sz w:val="24"/>
          <w:szCs w:val="24"/>
          <w:lang w:eastAsia="lv-LV"/>
        </w:rPr>
        <w:t>13.apakšstacijas Fridriķa ielā 2 ēkas atjaunošana / pārbūve, 10kV elektrolīnijas atjaunošana pa esošo trasi līdz AS “Sadales tīkls” apakšstacijai Nr.110 un apakšstacijas elektroiekārtu nomaiņa;</w:t>
      </w:r>
      <w:r w:rsidR="00181A45" w:rsidRPr="00B930ED">
        <w:rPr>
          <w:rFonts w:ascii="Segoe UI" w:eastAsia="Times New Roman" w:hAnsi="Segoe UI" w:cs="Segoe UI"/>
          <w:sz w:val="21"/>
          <w:szCs w:val="21"/>
          <w:lang w:eastAsia="lv-LV"/>
        </w:rPr>
        <w:t xml:space="preserve"> </w:t>
      </w:r>
    </w:p>
    <w:p w14:paraId="011D5B05" w14:textId="15188D2F" w:rsidR="00181A45" w:rsidRDefault="005865C0" w:rsidP="00181A4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lv-LV"/>
        </w:rPr>
      </w:pPr>
      <w:r w:rsidRPr="00B930ED">
        <w:rPr>
          <w:rFonts w:ascii="Segoe UI Symbol" w:hAnsi="Segoe UI Symbol" w:cs="Segoe UI Symbol"/>
          <w:bCs/>
          <w:sz w:val="24"/>
          <w:szCs w:val="24"/>
        </w:rPr>
        <w:t>☐</w:t>
      </w:r>
      <w:r w:rsidRPr="00B930ED">
        <w:rPr>
          <w:rFonts w:ascii="Times New Roman" w:hAnsi="Times New Roman"/>
          <w:bCs/>
          <w:sz w:val="24"/>
          <w:szCs w:val="24"/>
        </w:rPr>
        <w:t xml:space="preserve">  </w:t>
      </w:r>
      <w:r w:rsidR="004D4C37" w:rsidRPr="00B930ED">
        <w:rPr>
          <w:rFonts w:ascii="Times New Roman" w:hAnsi="Times New Roman"/>
          <w:bCs/>
          <w:sz w:val="24"/>
          <w:szCs w:val="24"/>
        </w:rPr>
        <w:t>IV.</w:t>
      </w:r>
      <w:r w:rsidR="00B45A09" w:rsidRPr="00B930ED">
        <w:rPr>
          <w:rFonts w:ascii="Times New Roman" w:hAnsi="Times New Roman"/>
          <w:bCs/>
          <w:sz w:val="24"/>
          <w:szCs w:val="24"/>
        </w:rPr>
        <w:t xml:space="preserve"> </w:t>
      </w:r>
      <w:r w:rsidR="004D4C37" w:rsidRPr="00B930ED">
        <w:rPr>
          <w:rFonts w:ascii="Times New Roman" w:hAnsi="Times New Roman"/>
          <w:bCs/>
          <w:sz w:val="24"/>
          <w:szCs w:val="24"/>
        </w:rPr>
        <w:t xml:space="preserve">daļa - </w:t>
      </w:r>
      <w:r w:rsidR="00181A45" w:rsidRPr="00B930ED">
        <w:rPr>
          <w:rFonts w:ascii="Segoe UI" w:eastAsia="Times New Roman" w:hAnsi="Segoe UI" w:cs="Segoe UI"/>
          <w:sz w:val="24"/>
          <w:szCs w:val="24"/>
          <w:lang w:eastAsia="lv-LV"/>
        </w:rPr>
        <w:t>11.apakšstacijas Ķengaraga ielā 3A un 17.apakšstacijas Aviācijas ielā 1C ēku atjaunošana / pārbūve un apakšstaciju elektroiekārtu nomaiņa</w:t>
      </w:r>
      <w:r w:rsidR="000C6E22">
        <w:rPr>
          <w:rFonts w:ascii="Segoe UI" w:eastAsia="Times New Roman" w:hAnsi="Segoe UI" w:cs="Segoe UI"/>
          <w:sz w:val="24"/>
          <w:szCs w:val="24"/>
          <w:lang w:eastAsia="lv-LV"/>
        </w:rPr>
        <w:t>;</w:t>
      </w:r>
    </w:p>
    <w:p w14:paraId="15E57100" w14:textId="143E7F8D" w:rsidR="000C6E22" w:rsidRPr="00B930ED" w:rsidRDefault="000C6E22" w:rsidP="00181A4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lv-LV"/>
        </w:rPr>
      </w:pPr>
      <w:r w:rsidRPr="00B930ED">
        <w:rPr>
          <w:rFonts w:ascii="Segoe UI Symbol" w:hAnsi="Segoe UI Symbol" w:cs="Segoe UI Symbol"/>
          <w:bCs/>
          <w:sz w:val="24"/>
          <w:szCs w:val="24"/>
        </w:rPr>
        <w:t>☐</w:t>
      </w:r>
      <w:r w:rsidRPr="00B930ED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Piedalīšos visās daļās.</w:t>
      </w:r>
      <w:r w:rsidRPr="00B930ED">
        <w:rPr>
          <w:rFonts w:ascii="Segoe UI" w:eastAsia="Times New Roman" w:hAnsi="Segoe UI" w:cs="Segoe UI"/>
          <w:sz w:val="21"/>
          <w:szCs w:val="21"/>
          <w:lang w:eastAsia="lv-LV"/>
        </w:rPr>
        <w:t xml:space="preserve"> </w:t>
      </w:r>
    </w:p>
    <w:p w14:paraId="20312D43" w14:textId="008ED4B6" w:rsidR="00785692" w:rsidRPr="009368B1" w:rsidRDefault="008122B9" w:rsidP="00181A45">
      <w:pPr>
        <w:spacing w:after="120" w:line="240" w:lineRule="auto"/>
        <w:rPr>
          <w:rFonts w:ascii="Times New Roman" w:hAnsi="Times New Roman"/>
          <w:i/>
          <w:iCs/>
          <w:szCs w:val="24"/>
        </w:rPr>
      </w:pPr>
      <w:r w:rsidRPr="00B930ED">
        <w:rPr>
          <w:rFonts w:ascii="Times New Roman" w:hAnsi="Times New Roman"/>
          <w:i/>
          <w:iCs/>
          <w:szCs w:val="24"/>
        </w:rPr>
        <w:t>*</w:t>
      </w:r>
      <w:r w:rsidR="001275F1" w:rsidRPr="00B930ED">
        <w:rPr>
          <w:rFonts w:ascii="Times New Roman" w:hAnsi="Times New Roman"/>
          <w:i/>
          <w:iCs/>
          <w:szCs w:val="24"/>
        </w:rPr>
        <w:t>Ja pēc Tirgus izpētes rezultātiem tiks lemts par iepirkuma dalīšanu atsevišķās daļās, tad</w:t>
      </w:r>
      <w:r w:rsidR="00192667" w:rsidRPr="00B930ED">
        <w:rPr>
          <w:rFonts w:ascii="Times New Roman" w:hAnsi="Times New Roman"/>
          <w:i/>
          <w:iCs/>
          <w:szCs w:val="24"/>
        </w:rPr>
        <w:t xml:space="preserve"> Pasūtītājs sagatavos </w:t>
      </w:r>
      <w:r w:rsidRPr="00B930ED">
        <w:rPr>
          <w:rFonts w:ascii="Times New Roman" w:hAnsi="Times New Roman"/>
          <w:i/>
          <w:iCs/>
          <w:szCs w:val="24"/>
        </w:rPr>
        <w:t>projektēšanas uzdevumu katrai iepirkuma daļai atsevišķi.</w:t>
      </w:r>
    </w:p>
    <w:p w14:paraId="41D6A6AC" w14:textId="66F4605B" w:rsidR="009820FC" w:rsidRPr="00485AB3" w:rsidRDefault="009820FC" w:rsidP="009820F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485AB3">
        <w:rPr>
          <w:rFonts w:ascii="Times New Roman" w:hAnsi="Times New Roman"/>
          <w:b/>
          <w:sz w:val="24"/>
          <w:szCs w:val="24"/>
        </w:rPr>
        <w:t>5.</w:t>
      </w:r>
      <w:r w:rsidR="00182C07" w:rsidRPr="00485AB3">
        <w:rPr>
          <w:rFonts w:ascii="Times New Roman" w:hAnsi="Times New Roman"/>
          <w:b/>
          <w:sz w:val="24"/>
          <w:szCs w:val="24"/>
        </w:rPr>
        <w:t>2</w:t>
      </w:r>
      <w:r w:rsidRPr="00485AB3">
        <w:rPr>
          <w:rFonts w:ascii="Times New Roman" w:hAnsi="Times New Roman"/>
          <w:b/>
          <w:sz w:val="24"/>
          <w:szCs w:val="24"/>
        </w:rPr>
        <w:t>. Būv</w:t>
      </w:r>
      <w:r w:rsidR="001318D8">
        <w:rPr>
          <w:rFonts w:ascii="Times New Roman" w:hAnsi="Times New Roman"/>
          <w:b/>
          <w:sz w:val="24"/>
          <w:szCs w:val="24"/>
        </w:rPr>
        <w:t>projekta</w:t>
      </w:r>
      <w:r w:rsidRPr="00485AB3">
        <w:rPr>
          <w:rFonts w:ascii="Times New Roman" w:hAnsi="Times New Roman"/>
          <w:b/>
          <w:sz w:val="24"/>
          <w:szCs w:val="24"/>
        </w:rPr>
        <w:t xml:space="preserve"> izpildes termiņš</w:t>
      </w:r>
    </w:p>
    <w:p w14:paraId="62C4F48A" w14:textId="7F2073BA" w:rsidR="009820FC" w:rsidRPr="00485AB3" w:rsidRDefault="00BB149A" w:rsidP="0018352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58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0FC" w:rsidRPr="0048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820FC" w:rsidRPr="00485AB3">
        <w:rPr>
          <w:rFonts w:ascii="Times New Roman" w:hAnsi="Times New Roman"/>
          <w:szCs w:val="24"/>
        </w:rPr>
        <w:t xml:space="preserve">  Uzskatām, ka </w:t>
      </w:r>
      <w:r w:rsidR="00A15E65" w:rsidRPr="00485AB3">
        <w:rPr>
          <w:rFonts w:ascii="Times New Roman" w:hAnsi="Times New Roman"/>
          <w:szCs w:val="24"/>
        </w:rPr>
        <w:t>projektēšanu</w:t>
      </w:r>
      <w:r w:rsidR="009820FC" w:rsidRPr="00485AB3">
        <w:rPr>
          <w:rFonts w:ascii="Times New Roman" w:hAnsi="Times New Roman"/>
          <w:szCs w:val="24"/>
        </w:rPr>
        <w:t xml:space="preserve"> ir iespējams veikt</w:t>
      </w:r>
      <w:r w:rsidR="00F36310">
        <w:rPr>
          <w:rFonts w:ascii="Times New Roman" w:hAnsi="Times New Roman"/>
          <w:szCs w:val="24"/>
        </w:rPr>
        <w:t xml:space="preserve"> visiem četriem objektiem </w:t>
      </w:r>
      <w:r w:rsidR="009820FC" w:rsidRPr="00485AB3">
        <w:rPr>
          <w:rFonts w:ascii="Times New Roman" w:hAnsi="Times New Roman"/>
          <w:szCs w:val="24"/>
        </w:rPr>
        <w:t xml:space="preserve"> </w:t>
      </w:r>
      <w:r w:rsidR="00454AD4" w:rsidRPr="00485AB3">
        <w:rPr>
          <w:rFonts w:ascii="Times New Roman" w:hAnsi="Times New Roman"/>
          <w:szCs w:val="24"/>
        </w:rPr>
        <w:t>45</w:t>
      </w:r>
      <w:r w:rsidR="00651F64" w:rsidRPr="00485AB3">
        <w:rPr>
          <w:rFonts w:ascii="Times New Roman" w:hAnsi="Times New Roman"/>
          <w:szCs w:val="24"/>
        </w:rPr>
        <w:t xml:space="preserve"> </w:t>
      </w:r>
      <w:r w:rsidR="00454AD4" w:rsidRPr="00485AB3">
        <w:rPr>
          <w:rFonts w:ascii="Times New Roman" w:hAnsi="Times New Roman"/>
          <w:szCs w:val="24"/>
        </w:rPr>
        <w:t>nedēļu</w:t>
      </w:r>
      <w:r w:rsidR="00651F64" w:rsidRPr="00485AB3">
        <w:rPr>
          <w:rFonts w:ascii="Times New Roman" w:hAnsi="Times New Roman"/>
          <w:szCs w:val="24"/>
        </w:rPr>
        <w:t xml:space="preserve"> laikā no </w:t>
      </w:r>
      <w:r w:rsidR="007C44D6" w:rsidRPr="00485AB3">
        <w:rPr>
          <w:rFonts w:ascii="Times New Roman" w:hAnsi="Times New Roman"/>
          <w:szCs w:val="24"/>
        </w:rPr>
        <w:t>līguma noslēgšanas</w:t>
      </w:r>
      <w:r w:rsidR="009820FC" w:rsidRPr="00485AB3">
        <w:rPr>
          <w:rFonts w:ascii="Times New Roman" w:hAnsi="Times New Roman"/>
          <w:szCs w:val="24"/>
        </w:rPr>
        <w:t>;</w:t>
      </w:r>
    </w:p>
    <w:p w14:paraId="38E64D17" w14:textId="168DC076" w:rsidR="009820FC" w:rsidRPr="00485AB3" w:rsidRDefault="00BB149A" w:rsidP="0018352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43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0FC" w:rsidRPr="0048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820FC" w:rsidRPr="00485AB3">
        <w:rPr>
          <w:rFonts w:ascii="Times New Roman" w:hAnsi="Times New Roman"/>
          <w:szCs w:val="24"/>
        </w:rPr>
        <w:t xml:space="preserve">  </w:t>
      </w:r>
      <w:r w:rsidR="00A15E65" w:rsidRPr="00485AB3">
        <w:rPr>
          <w:rFonts w:ascii="Times New Roman" w:hAnsi="Times New Roman"/>
          <w:szCs w:val="24"/>
        </w:rPr>
        <w:t>Projektēšanu</w:t>
      </w:r>
      <w:r w:rsidR="009820FC" w:rsidRPr="00485AB3">
        <w:rPr>
          <w:rFonts w:ascii="Times New Roman" w:hAnsi="Times New Roman"/>
          <w:szCs w:val="24"/>
        </w:rPr>
        <w:t xml:space="preserve"> nav iespējams paveikt </w:t>
      </w:r>
      <w:r w:rsidR="00454AD4" w:rsidRPr="00485AB3">
        <w:rPr>
          <w:rFonts w:ascii="Times New Roman" w:hAnsi="Times New Roman"/>
          <w:szCs w:val="24"/>
        </w:rPr>
        <w:t>45 nedēļu</w:t>
      </w:r>
      <w:r w:rsidR="007C44D6" w:rsidRPr="00485AB3">
        <w:rPr>
          <w:rFonts w:ascii="Times New Roman" w:hAnsi="Times New Roman"/>
          <w:szCs w:val="24"/>
        </w:rPr>
        <w:t xml:space="preserve"> laikā</w:t>
      </w:r>
      <w:r w:rsidR="009820FC" w:rsidRPr="00485AB3">
        <w:rPr>
          <w:rFonts w:ascii="Times New Roman" w:hAnsi="Times New Roman"/>
          <w:szCs w:val="24"/>
        </w:rPr>
        <w:t>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5AB3" w:rsidRPr="00485AB3" w14:paraId="025DBC0E" w14:textId="77777777" w:rsidTr="004C1504">
        <w:trPr>
          <w:trHeight w:val="680"/>
        </w:trPr>
        <w:tc>
          <w:tcPr>
            <w:tcW w:w="9344" w:type="dxa"/>
            <w:vAlign w:val="center"/>
          </w:tcPr>
          <w:p w14:paraId="762847F7" w14:textId="77777777" w:rsidR="009820FC" w:rsidRPr="00485AB3" w:rsidRDefault="009820FC" w:rsidP="00B337F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485AB3">
              <w:rPr>
                <w:rFonts w:ascii="Times New Roman" w:hAnsi="Times New Roman"/>
                <w:i/>
                <w:iCs/>
                <w:szCs w:val="24"/>
              </w:rPr>
              <w:t>Lūdzu sniedziet pamatojumu, kāpēc šis termiņš ir nereālistisks.</w:t>
            </w:r>
          </w:p>
        </w:tc>
      </w:tr>
    </w:tbl>
    <w:p w14:paraId="22E77E71" w14:textId="77777777" w:rsidR="00557E37" w:rsidRDefault="00557E37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3F6C1C" w14:textId="77777777" w:rsidR="00557E37" w:rsidRDefault="00557E37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55273D" w14:textId="25EA800E" w:rsidR="00AC0FDD" w:rsidRDefault="00D73BF6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485AB3">
        <w:rPr>
          <w:rFonts w:ascii="Times New Roman" w:hAnsi="Times New Roman"/>
          <w:b/>
          <w:bCs/>
          <w:sz w:val="24"/>
          <w:szCs w:val="24"/>
        </w:rPr>
        <w:lastRenderedPageBreak/>
        <w:t>5.3. Finanšu piedāvājums būvprojekta izstrādei un autoruzraudzībai*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3422"/>
        <w:gridCol w:w="2846"/>
        <w:gridCol w:w="1765"/>
      </w:tblGrid>
      <w:tr w:rsidR="00017572" w14:paraId="072AF769" w14:textId="77777777" w:rsidTr="00540549">
        <w:trPr>
          <w:trHeight w:val="567"/>
        </w:trPr>
        <w:tc>
          <w:tcPr>
            <w:tcW w:w="1311" w:type="dxa"/>
            <w:shd w:val="clear" w:color="auto" w:fill="D9E2F3" w:themeFill="accent1" w:themeFillTint="33"/>
            <w:vAlign w:val="center"/>
          </w:tcPr>
          <w:p w14:paraId="44DDDDE0" w14:textId="1B817786" w:rsidR="00017572" w:rsidRPr="002C2975" w:rsidRDefault="007A7720" w:rsidP="00540549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975">
              <w:rPr>
                <w:rFonts w:ascii="Times New Roman" w:hAnsi="Times New Roman"/>
                <w:b/>
                <w:bCs/>
                <w:sz w:val="24"/>
                <w:szCs w:val="24"/>
              </w:rPr>
              <w:t>Iepirkuma daļa</w:t>
            </w:r>
          </w:p>
        </w:tc>
        <w:tc>
          <w:tcPr>
            <w:tcW w:w="3422" w:type="dxa"/>
            <w:shd w:val="clear" w:color="auto" w:fill="D9E2F3" w:themeFill="accent1" w:themeFillTint="33"/>
            <w:vAlign w:val="center"/>
          </w:tcPr>
          <w:p w14:paraId="0E95A229" w14:textId="12D18D7F" w:rsidR="00017572" w:rsidRPr="002C2975" w:rsidRDefault="00017572" w:rsidP="00540549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975">
              <w:rPr>
                <w:rFonts w:ascii="Times New Roman" w:hAnsi="Times New Roman"/>
                <w:b/>
                <w:bCs/>
                <w:sz w:val="24"/>
                <w:szCs w:val="24"/>
              </w:rPr>
              <w:t>Iepirkuma daļas nosaukums</w:t>
            </w:r>
          </w:p>
        </w:tc>
        <w:tc>
          <w:tcPr>
            <w:tcW w:w="2846" w:type="dxa"/>
            <w:shd w:val="clear" w:color="auto" w:fill="D9E2F3" w:themeFill="accent1" w:themeFillTint="33"/>
            <w:vAlign w:val="center"/>
          </w:tcPr>
          <w:p w14:paraId="3C85CEA5" w14:textId="3C449EBE" w:rsidR="00017572" w:rsidRPr="002C2975" w:rsidRDefault="006610CF" w:rsidP="00540549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Veicamais uzdevums</w:t>
            </w:r>
          </w:p>
        </w:tc>
        <w:tc>
          <w:tcPr>
            <w:tcW w:w="1765" w:type="dxa"/>
            <w:shd w:val="clear" w:color="auto" w:fill="D9E2F3" w:themeFill="accent1" w:themeFillTint="33"/>
            <w:vAlign w:val="center"/>
          </w:tcPr>
          <w:p w14:paraId="1D7AB2D3" w14:textId="376BC588" w:rsidR="00017572" w:rsidRPr="002C2975" w:rsidRDefault="00017572" w:rsidP="00540549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9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Izmaksu pozīcijas cena EUR  bez PVN</w:t>
            </w:r>
          </w:p>
        </w:tc>
      </w:tr>
      <w:tr w:rsidR="00C00093" w14:paraId="50E86C64" w14:textId="77777777" w:rsidTr="00260E54">
        <w:tc>
          <w:tcPr>
            <w:tcW w:w="1311" w:type="dxa"/>
            <w:vMerge w:val="restart"/>
          </w:tcPr>
          <w:p w14:paraId="166237CF" w14:textId="50D31CA1" w:rsidR="00C00093" w:rsidRPr="002C2975" w:rsidRDefault="007A7720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2C2975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3422" w:type="dxa"/>
            <w:vMerge w:val="restart"/>
          </w:tcPr>
          <w:p w14:paraId="5103D0AC" w14:textId="526D43D0" w:rsidR="00C00093" w:rsidRPr="00C370DA" w:rsidRDefault="00C00093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eastAsia="Times New Roman" w:hAnsi="Times New Roman"/>
                <w:lang w:eastAsia="lv-LV"/>
              </w:rPr>
              <w:t>16.apakšstacijas Slokas ielā 54B ēkas atjaunošana / pārbūve, 10kV elektrolīnijas atjaunošana pa esošo trasi līdz AS “Sadales tīkls” apakšstacijai Nr.131 un apakšstacijas elektroiekārtu nomaiņa</w:t>
            </w:r>
          </w:p>
        </w:tc>
        <w:tc>
          <w:tcPr>
            <w:tcW w:w="2846" w:type="dxa"/>
          </w:tcPr>
          <w:p w14:paraId="59751C39" w14:textId="4CD7FD56" w:rsidR="00C00093" w:rsidRPr="00C370DA" w:rsidRDefault="00C00093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Apsekošana un uzmērīšana</w:t>
            </w:r>
          </w:p>
        </w:tc>
        <w:tc>
          <w:tcPr>
            <w:tcW w:w="1765" w:type="dxa"/>
          </w:tcPr>
          <w:p w14:paraId="1A693379" w14:textId="3A07D4A2" w:rsidR="00C00093" w:rsidRPr="00C370DA" w:rsidRDefault="00C00093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00093" w14:paraId="5C715FA8" w14:textId="77777777" w:rsidTr="00260E54">
        <w:tc>
          <w:tcPr>
            <w:tcW w:w="1311" w:type="dxa"/>
            <w:vMerge/>
          </w:tcPr>
          <w:p w14:paraId="7F932472" w14:textId="77777777" w:rsidR="00C00093" w:rsidRPr="002C2975" w:rsidRDefault="00C00093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2" w:type="dxa"/>
            <w:vMerge/>
          </w:tcPr>
          <w:p w14:paraId="4AEA2DBD" w14:textId="77777777" w:rsidR="00C00093" w:rsidRPr="00C370DA" w:rsidRDefault="00C00093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</w:tcPr>
          <w:p w14:paraId="1BF85CBB" w14:textId="05111164" w:rsidR="00C00093" w:rsidRPr="00C370DA" w:rsidRDefault="00C00093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Būvprojekta izstrāde, tajā skaitā saskaņošana būvvaldē un būvvaldes atzīmes par projektēšanas nosacījumu izpildi saņemšana būvatļaujā</w:t>
            </w:r>
          </w:p>
        </w:tc>
        <w:tc>
          <w:tcPr>
            <w:tcW w:w="1765" w:type="dxa"/>
          </w:tcPr>
          <w:p w14:paraId="14E97D1C" w14:textId="7C7B299D" w:rsidR="00C00093" w:rsidRPr="00C370DA" w:rsidRDefault="00C00093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00093" w14:paraId="6233BE73" w14:textId="77777777" w:rsidTr="00260E54">
        <w:tc>
          <w:tcPr>
            <w:tcW w:w="1311" w:type="dxa"/>
            <w:vMerge/>
          </w:tcPr>
          <w:p w14:paraId="338B8124" w14:textId="77777777" w:rsidR="00C00093" w:rsidRPr="002C2975" w:rsidRDefault="00C00093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2" w:type="dxa"/>
            <w:vMerge/>
          </w:tcPr>
          <w:p w14:paraId="09E60285" w14:textId="77777777" w:rsidR="00C00093" w:rsidRPr="00C370DA" w:rsidRDefault="00C00093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</w:tcPr>
          <w:p w14:paraId="78525627" w14:textId="5379F576" w:rsidR="00C00093" w:rsidRPr="00C370DA" w:rsidRDefault="00C00093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Autoruzraudzība</w:t>
            </w:r>
          </w:p>
        </w:tc>
        <w:tc>
          <w:tcPr>
            <w:tcW w:w="1765" w:type="dxa"/>
          </w:tcPr>
          <w:p w14:paraId="57FB63E2" w14:textId="03D75E89" w:rsidR="00C00093" w:rsidRPr="00C370DA" w:rsidRDefault="00C00093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00093" w14:paraId="0BD3768E" w14:textId="77777777" w:rsidTr="00260E54">
        <w:tc>
          <w:tcPr>
            <w:tcW w:w="1311" w:type="dxa"/>
            <w:vMerge/>
          </w:tcPr>
          <w:p w14:paraId="57CA1CDB" w14:textId="77777777" w:rsidR="00C00093" w:rsidRPr="002C2975" w:rsidRDefault="00C00093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2" w:type="dxa"/>
            <w:vMerge/>
          </w:tcPr>
          <w:p w14:paraId="7FC1D5AC" w14:textId="77777777" w:rsidR="00C00093" w:rsidRPr="00C370DA" w:rsidRDefault="00C00093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  <w:shd w:val="clear" w:color="auto" w:fill="D9E2F3" w:themeFill="accent1" w:themeFillTint="33"/>
          </w:tcPr>
          <w:p w14:paraId="4410370B" w14:textId="587A2A20" w:rsidR="00C00093" w:rsidRPr="00C370DA" w:rsidRDefault="00C00093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</w:rPr>
              <w:t>Kopā: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14:paraId="4A2F18B3" w14:textId="2D62D849" w:rsidR="00C00093" w:rsidRPr="00C370DA" w:rsidRDefault="00C00093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3DDB5F78" w14:textId="77777777" w:rsidTr="00260E54">
        <w:tc>
          <w:tcPr>
            <w:tcW w:w="1311" w:type="dxa"/>
            <w:vMerge w:val="restart"/>
          </w:tcPr>
          <w:p w14:paraId="4C858506" w14:textId="2D33321B" w:rsidR="00D5261D" w:rsidRPr="002C2975" w:rsidRDefault="00D5261D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2C2975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3422" w:type="dxa"/>
            <w:vMerge w:val="restart"/>
          </w:tcPr>
          <w:p w14:paraId="394D0C73" w14:textId="515A727F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eastAsia="Times New Roman" w:hAnsi="Times New Roman"/>
                <w:lang w:eastAsia="lv-LV"/>
              </w:rPr>
              <w:t>4.apakšstacijas Abrenes ielā 13 ēkas atjaunošana / pārbūve, 4. un 15.apakšstacijas 10kV elektrolīniju atjaunošana pa esošo trasi līdz AS “Sadales tīkls” apakšstacijai Nr.111 un apakšstacijas elektroiekārtu nomaiņa</w:t>
            </w:r>
          </w:p>
        </w:tc>
        <w:tc>
          <w:tcPr>
            <w:tcW w:w="2846" w:type="dxa"/>
          </w:tcPr>
          <w:p w14:paraId="39B8FEB4" w14:textId="330B2201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Apsekošana un uzmērīšana</w:t>
            </w:r>
          </w:p>
        </w:tc>
        <w:tc>
          <w:tcPr>
            <w:tcW w:w="1765" w:type="dxa"/>
          </w:tcPr>
          <w:p w14:paraId="5BE36660" w14:textId="1783E370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7EBE3351" w14:textId="77777777" w:rsidTr="00260E54">
        <w:tc>
          <w:tcPr>
            <w:tcW w:w="1311" w:type="dxa"/>
            <w:vMerge/>
          </w:tcPr>
          <w:p w14:paraId="61D4F863" w14:textId="77777777" w:rsidR="00D5261D" w:rsidRPr="002C2975" w:rsidRDefault="00D5261D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2" w:type="dxa"/>
            <w:vMerge/>
          </w:tcPr>
          <w:p w14:paraId="4249C961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</w:tcPr>
          <w:p w14:paraId="10035EDB" w14:textId="62FCB6F4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Būvprojekta izstrāde, tajā skaitā saskaņošana būvvaldē un būvvaldes atzīmes par projektēšanas nosacījumu izpildi saņemšana būvatļaujā</w:t>
            </w:r>
          </w:p>
        </w:tc>
        <w:tc>
          <w:tcPr>
            <w:tcW w:w="1765" w:type="dxa"/>
          </w:tcPr>
          <w:p w14:paraId="23BF58CB" w14:textId="1F941C03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50D5A70B" w14:textId="77777777" w:rsidTr="00260E54">
        <w:tc>
          <w:tcPr>
            <w:tcW w:w="1311" w:type="dxa"/>
            <w:vMerge/>
          </w:tcPr>
          <w:p w14:paraId="145F1880" w14:textId="77777777" w:rsidR="00D5261D" w:rsidRPr="002C2975" w:rsidRDefault="00D5261D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2" w:type="dxa"/>
            <w:vMerge/>
          </w:tcPr>
          <w:p w14:paraId="1F3BA2F8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</w:tcPr>
          <w:p w14:paraId="7BBF5ABB" w14:textId="66359DEF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Autoruzraudzība</w:t>
            </w:r>
          </w:p>
        </w:tc>
        <w:tc>
          <w:tcPr>
            <w:tcW w:w="1765" w:type="dxa"/>
          </w:tcPr>
          <w:p w14:paraId="4DE7CDF9" w14:textId="5228A143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0CB238E8" w14:textId="77777777" w:rsidTr="00260E54">
        <w:tc>
          <w:tcPr>
            <w:tcW w:w="1311" w:type="dxa"/>
            <w:vMerge/>
          </w:tcPr>
          <w:p w14:paraId="273BEE1A" w14:textId="77777777" w:rsidR="00D5261D" w:rsidRPr="002C2975" w:rsidRDefault="00D5261D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2" w:type="dxa"/>
            <w:vMerge/>
          </w:tcPr>
          <w:p w14:paraId="412A21A7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  <w:shd w:val="clear" w:color="auto" w:fill="D9E2F3" w:themeFill="accent1" w:themeFillTint="33"/>
          </w:tcPr>
          <w:p w14:paraId="0859E514" w14:textId="147AB7B1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370DA">
              <w:rPr>
                <w:rFonts w:ascii="Times New Roman" w:hAnsi="Times New Roman"/>
              </w:rPr>
              <w:t>Kopā: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14:paraId="7BB5E8D5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472493E9" w14:textId="77777777" w:rsidTr="00260E54">
        <w:tc>
          <w:tcPr>
            <w:tcW w:w="1311" w:type="dxa"/>
            <w:vMerge w:val="restart"/>
          </w:tcPr>
          <w:p w14:paraId="175319A1" w14:textId="1C081D3A" w:rsidR="00D5261D" w:rsidRPr="002C2975" w:rsidRDefault="00D5261D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2C2975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3422" w:type="dxa"/>
            <w:vMerge w:val="restart"/>
          </w:tcPr>
          <w:p w14:paraId="6A0AF613" w14:textId="5720C454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eastAsia="Times New Roman" w:hAnsi="Times New Roman"/>
                <w:lang w:eastAsia="lv-LV"/>
              </w:rPr>
              <w:t>13.apakšstacijas Fridriķa ielā 2 ēkas atjaunošana / pārbūve, 10kV elektrolīnijas atjaunošana pa esošo trasi līdz AS “Sadales tīkls” apakšstacijai Nr.110 un apakšstacijas elektroiekārtu nomaiņa</w:t>
            </w:r>
          </w:p>
        </w:tc>
        <w:tc>
          <w:tcPr>
            <w:tcW w:w="2846" w:type="dxa"/>
          </w:tcPr>
          <w:p w14:paraId="418F26C5" w14:textId="5ABFC55D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Apsekošana un uzmērīšana</w:t>
            </w:r>
          </w:p>
        </w:tc>
        <w:tc>
          <w:tcPr>
            <w:tcW w:w="1765" w:type="dxa"/>
          </w:tcPr>
          <w:p w14:paraId="2BCF34AD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24EB5C17" w14:textId="77777777" w:rsidTr="00260E54">
        <w:tc>
          <w:tcPr>
            <w:tcW w:w="1311" w:type="dxa"/>
            <w:vMerge/>
          </w:tcPr>
          <w:p w14:paraId="61D7C662" w14:textId="77777777" w:rsidR="00D5261D" w:rsidRPr="002C2975" w:rsidRDefault="00D5261D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2" w:type="dxa"/>
            <w:vMerge/>
          </w:tcPr>
          <w:p w14:paraId="2DE2847B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</w:tcPr>
          <w:p w14:paraId="66012538" w14:textId="0293C40E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Būvprojekta izstrāde, tajā skaitā saskaņošana būvvaldē un būvvaldes atzīmes par projektēšanas nosacījumu izpildi saņemšana būvatļaujā</w:t>
            </w:r>
          </w:p>
        </w:tc>
        <w:tc>
          <w:tcPr>
            <w:tcW w:w="1765" w:type="dxa"/>
          </w:tcPr>
          <w:p w14:paraId="54FDBA92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695E9B32" w14:textId="77777777" w:rsidTr="00260E54">
        <w:tc>
          <w:tcPr>
            <w:tcW w:w="1311" w:type="dxa"/>
            <w:vMerge/>
          </w:tcPr>
          <w:p w14:paraId="22AC6B51" w14:textId="77777777" w:rsidR="00D5261D" w:rsidRPr="002C2975" w:rsidRDefault="00D5261D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2" w:type="dxa"/>
            <w:vMerge/>
          </w:tcPr>
          <w:p w14:paraId="4B9DB993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</w:tcPr>
          <w:p w14:paraId="7CE50A40" w14:textId="5587AF6E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Autoruzraudzība</w:t>
            </w:r>
          </w:p>
        </w:tc>
        <w:tc>
          <w:tcPr>
            <w:tcW w:w="1765" w:type="dxa"/>
          </w:tcPr>
          <w:p w14:paraId="79C72EE2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067A1A10" w14:textId="77777777" w:rsidTr="00260E54">
        <w:tc>
          <w:tcPr>
            <w:tcW w:w="1311" w:type="dxa"/>
            <w:vMerge/>
          </w:tcPr>
          <w:p w14:paraId="65D59DE1" w14:textId="77777777" w:rsidR="00D5261D" w:rsidRPr="002C2975" w:rsidRDefault="00D5261D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2" w:type="dxa"/>
            <w:vMerge/>
          </w:tcPr>
          <w:p w14:paraId="4F16A9F0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  <w:shd w:val="clear" w:color="auto" w:fill="D9E2F3" w:themeFill="accent1" w:themeFillTint="33"/>
          </w:tcPr>
          <w:p w14:paraId="338236ED" w14:textId="602AAD49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</w:rPr>
              <w:t>Kopā: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14:paraId="2581FAAA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73E56AAC" w14:textId="77777777" w:rsidTr="00260E54">
        <w:tc>
          <w:tcPr>
            <w:tcW w:w="1311" w:type="dxa"/>
            <w:vMerge w:val="restart"/>
          </w:tcPr>
          <w:p w14:paraId="26FF2F30" w14:textId="460A718B" w:rsidR="00D5261D" w:rsidRPr="002C2975" w:rsidRDefault="00D5261D" w:rsidP="00260E5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2C2975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3422" w:type="dxa"/>
            <w:vMerge w:val="restart"/>
          </w:tcPr>
          <w:p w14:paraId="26C20C5F" w14:textId="3A2ED2DE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eastAsia="Times New Roman" w:hAnsi="Times New Roman"/>
                <w:lang w:eastAsia="lv-LV"/>
              </w:rPr>
              <w:t>11.apakšstacijas Ķengaraga ielā 3A un 17.apakšstacijas Aviācijas ielā 1C ēku atjaunošana / pārbūve un apakšstaciju elektroiekārtu nomaiņa</w:t>
            </w:r>
          </w:p>
        </w:tc>
        <w:tc>
          <w:tcPr>
            <w:tcW w:w="2846" w:type="dxa"/>
          </w:tcPr>
          <w:p w14:paraId="7D615A5F" w14:textId="0A037693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Apsekošana un uzmērīšana</w:t>
            </w:r>
          </w:p>
        </w:tc>
        <w:tc>
          <w:tcPr>
            <w:tcW w:w="1765" w:type="dxa"/>
          </w:tcPr>
          <w:p w14:paraId="1AD4E1C1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2D3546EA" w14:textId="77777777" w:rsidTr="00F66C33">
        <w:tc>
          <w:tcPr>
            <w:tcW w:w="1311" w:type="dxa"/>
            <w:vMerge/>
          </w:tcPr>
          <w:p w14:paraId="6986E00E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vMerge/>
          </w:tcPr>
          <w:p w14:paraId="764E6C66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</w:tcPr>
          <w:p w14:paraId="39A173CD" w14:textId="79D4EC1A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Būvprojekta izstrāde, tajā skaitā saskaņošana būvvaldē un būvvaldes atzīmes par projektēšanas nosacījumu izpildi saņemšana būvatļaujā</w:t>
            </w:r>
          </w:p>
        </w:tc>
        <w:tc>
          <w:tcPr>
            <w:tcW w:w="1765" w:type="dxa"/>
          </w:tcPr>
          <w:p w14:paraId="01E444EF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5261D" w14:paraId="6A5CB5A1" w14:textId="77777777" w:rsidTr="00F66C33">
        <w:tc>
          <w:tcPr>
            <w:tcW w:w="1311" w:type="dxa"/>
            <w:vMerge/>
          </w:tcPr>
          <w:p w14:paraId="1005539E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  <w:vMerge/>
          </w:tcPr>
          <w:p w14:paraId="37658EC5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</w:tcPr>
          <w:p w14:paraId="4E22E226" w14:textId="5161E4D4" w:rsidR="00D5261D" w:rsidRPr="00C370DA" w:rsidRDefault="00D5261D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  <w:color w:val="000000"/>
              </w:rPr>
              <w:t>Autoruzraudzība</w:t>
            </w:r>
          </w:p>
        </w:tc>
        <w:tc>
          <w:tcPr>
            <w:tcW w:w="1765" w:type="dxa"/>
          </w:tcPr>
          <w:p w14:paraId="2B4AA9B1" w14:textId="77777777" w:rsidR="00D5261D" w:rsidRPr="00C370DA" w:rsidRDefault="00D5261D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27B58" w14:paraId="4EFE9C88" w14:textId="77777777" w:rsidTr="00485AB3">
        <w:tc>
          <w:tcPr>
            <w:tcW w:w="1311" w:type="dxa"/>
          </w:tcPr>
          <w:p w14:paraId="157AA40C" w14:textId="77777777" w:rsidR="00D27B58" w:rsidRPr="00C370DA" w:rsidRDefault="00D27B58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22" w:type="dxa"/>
          </w:tcPr>
          <w:p w14:paraId="1CF40D18" w14:textId="77777777" w:rsidR="00D27B58" w:rsidRPr="00C370DA" w:rsidRDefault="00D27B58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46" w:type="dxa"/>
            <w:shd w:val="clear" w:color="auto" w:fill="D9E2F3" w:themeFill="accent1" w:themeFillTint="33"/>
          </w:tcPr>
          <w:p w14:paraId="59A7160D" w14:textId="3D361E06" w:rsidR="00D27B58" w:rsidRPr="00C370DA" w:rsidRDefault="00D27B58" w:rsidP="00231204">
            <w:pPr>
              <w:pStyle w:val="NoSpacing"/>
              <w:tabs>
                <w:tab w:val="left" w:pos="851"/>
              </w:tabs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C370DA">
              <w:rPr>
                <w:rFonts w:ascii="Times New Roman" w:hAnsi="Times New Roman"/>
              </w:rPr>
              <w:t>Kopā:</w:t>
            </w:r>
          </w:p>
        </w:tc>
        <w:tc>
          <w:tcPr>
            <w:tcW w:w="1765" w:type="dxa"/>
            <w:shd w:val="clear" w:color="auto" w:fill="D9E2F3" w:themeFill="accent1" w:themeFillTint="33"/>
          </w:tcPr>
          <w:p w14:paraId="7A05E3BC" w14:textId="77777777" w:rsidR="00D27B58" w:rsidRPr="00C370DA" w:rsidRDefault="00D27B58" w:rsidP="00C370DA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21F3EC88" w14:textId="7F5BEEE9" w:rsidR="00B413A4" w:rsidRPr="001C2D6E" w:rsidRDefault="00B413A4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</w:rPr>
      </w:pPr>
      <w:r w:rsidRPr="001C2D6E">
        <w:rPr>
          <w:rFonts w:ascii="Times New Roman" w:hAnsi="Times New Roman"/>
          <w:i/>
          <w:iCs/>
        </w:rPr>
        <w:t>* Iekļautas visas izmaksas, kas saistītas ar projektēšanas darbu uzsākšanu, būvprojekta izstrādi, saskaņota būvprojekta nodošanu Pasūtītājam un autoruzraudzību</w:t>
      </w:r>
      <w:r w:rsidR="001C2D6E">
        <w:rPr>
          <w:rFonts w:ascii="Times New Roman" w:hAnsi="Times New Roman"/>
          <w:i/>
          <w:iCs/>
        </w:rPr>
        <w:t xml:space="preserve"> par katru paredzamo iepirkuma daļu</w:t>
      </w:r>
      <w:r w:rsidR="002A2BE1">
        <w:rPr>
          <w:rFonts w:ascii="Times New Roman" w:hAnsi="Times New Roman"/>
          <w:i/>
          <w:iCs/>
        </w:rPr>
        <w:t>.</w:t>
      </w:r>
    </w:p>
    <w:p w14:paraId="6C9C41C2" w14:textId="32A1BA21" w:rsidR="002019FA" w:rsidRDefault="00897377" w:rsidP="00FE0B9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D6A48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: Tirgus izpētē piedāvātā un orientējošā </w:t>
      </w:r>
      <w:r w:rsidR="002F62D0">
        <w:rPr>
          <w:rFonts w:ascii="Times New Roman" w:hAnsi="Times New Roman"/>
          <w:b/>
          <w:bCs/>
          <w:sz w:val="24"/>
          <w:szCs w:val="24"/>
        </w:rPr>
        <w:t>būvprojekta izstrādes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 cena tiks izmantota, lai noteiktu paredzamo līgumcenu iepirkuma procedūrā.</w:t>
      </w:r>
    </w:p>
    <w:p w14:paraId="52AB847D" w14:textId="1F6A61AA" w:rsidR="00ED74FB" w:rsidRDefault="00DC0D88" w:rsidP="3C4EE94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4EE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iespēja saņemt papildus informāciju, iepriekš </w:t>
      </w:r>
      <w:r w:rsidR="00DE3152" w:rsidRPr="3C4EE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sazinoties</w:t>
      </w:r>
      <w:r w:rsidRPr="3C4EE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 Pasūtītāja </w:t>
      </w:r>
      <w:r w:rsidRPr="002C2C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kontaktpersonu</w:t>
      </w:r>
      <w:r w:rsidR="002C2C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790B2E7" w14:textId="04571187" w:rsidR="003D49DB" w:rsidRPr="002675B7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675B7">
        <w:rPr>
          <w:rFonts w:ascii="Times New Roman" w:hAnsi="Times New Roman"/>
          <w:sz w:val="24"/>
          <w:szCs w:val="24"/>
        </w:rPr>
        <w:t>Pielikumā:</w:t>
      </w:r>
    </w:p>
    <w:p w14:paraId="11276355" w14:textId="57AAAD0B" w:rsidR="006E0A0F" w:rsidRPr="002675B7" w:rsidRDefault="002675B7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Projektēšanas uzdevums</w:t>
      </w:r>
      <w:r w:rsidR="006E0A0F" w:rsidRPr="002675B7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35CE1B17" w14:textId="4A5F181A" w:rsidR="006E0A0F" w:rsidRPr="002675B7" w:rsidRDefault="002675B7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Projektēšanas robežas</w:t>
      </w:r>
      <w:r w:rsidR="00AB5324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74D23B4C" w14:textId="2FA0C3E0" w:rsidR="00370C61" w:rsidRPr="00540549" w:rsidRDefault="0028735D" w:rsidP="00370C61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Perspektīvās vienlīnijas shēmas un iespējamais iekārtu izvietojums.</w:t>
      </w:r>
    </w:p>
    <w:sectPr w:rsidR="00370C61" w:rsidRPr="00540549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CE7AB" w14:textId="77777777" w:rsidR="00BB149A" w:rsidRDefault="00BB149A" w:rsidP="00F150DE">
      <w:pPr>
        <w:spacing w:after="0" w:line="240" w:lineRule="auto"/>
      </w:pPr>
      <w:r>
        <w:separator/>
      </w:r>
    </w:p>
  </w:endnote>
  <w:endnote w:type="continuationSeparator" w:id="0">
    <w:p w14:paraId="1972BDCC" w14:textId="77777777" w:rsidR="00BB149A" w:rsidRDefault="00BB149A" w:rsidP="00F150DE">
      <w:pPr>
        <w:spacing w:after="0" w:line="240" w:lineRule="auto"/>
      </w:pPr>
      <w:r>
        <w:continuationSeparator/>
      </w:r>
    </w:p>
  </w:endnote>
  <w:endnote w:type="continuationNotice" w:id="1">
    <w:p w14:paraId="1D229ADA" w14:textId="77777777" w:rsidR="00BB149A" w:rsidRDefault="00BB1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4718B" w14:textId="77777777" w:rsidR="00BB149A" w:rsidRDefault="00BB149A" w:rsidP="00F150DE">
      <w:pPr>
        <w:spacing w:after="0" w:line="240" w:lineRule="auto"/>
      </w:pPr>
      <w:r>
        <w:separator/>
      </w:r>
    </w:p>
  </w:footnote>
  <w:footnote w:type="continuationSeparator" w:id="0">
    <w:p w14:paraId="6030EB4D" w14:textId="77777777" w:rsidR="00BB149A" w:rsidRDefault="00BB149A" w:rsidP="00F150DE">
      <w:pPr>
        <w:spacing w:after="0" w:line="240" w:lineRule="auto"/>
      </w:pPr>
      <w:r>
        <w:continuationSeparator/>
      </w:r>
    </w:p>
  </w:footnote>
  <w:footnote w:type="continuationNotice" w:id="1">
    <w:p w14:paraId="0C4AE419" w14:textId="77777777" w:rsidR="00BB149A" w:rsidRDefault="00BB14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C76"/>
    <w:multiLevelType w:val="multilevel"/>
    <w:tmpl w:val="B20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723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97288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3"/>
    <w:lvlOverride w:ilvl="0">
      <w:startOverride w:val="5"/>
    </w:lvlOverride>
    <w:lvlOverride w:ilvl="1">
      <w:startOverride w:val="5"/>
    </w:lvlOverride>
    <w:lvlOverride w:ilvl="2">
      <w:startOverride w:val="1"/>
    </w:lvlOverride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137AB"/>
    <w:rsid w:val="00016ED0"/>
    <w:rsid w:val="00017572"/>
    <w:rsid w:val="00024DEA"/>
    <w:rsid w:val="0002533F"/>
    <w:rsid w:val="00031361"/>
    <w:rsid w:val="000321F9"/>
    <w:rsid w:val="00036641"/>
    <w:rsid w:val="0004189D"/>
    <w:rsid w:val="00041AC6"/>
    <w:rsid w:val="00043E4F"/>
    <w:rsid w:val="00044A19"/>
    <w:rsid w:val="0005045E"/>
    <w:rsid w:val="00050C10"/>
    <w:rsid w:val="000532CE"/>
    <w:rsid w:val="00054BB0"/>
    <w:rsid w:val="00055D80"/>
    <w:rsid w:val="00070C11"/>
    <w:rsid w:val="0007210B"/>
    <w:rsid w:val="00081C3F"/>
    <w:rsid w:val="000827AE"/>
    <w:rsid w:val="00082B09"/>
    <w:rsid w:val="00086345"/>
    <w:rsid w:val="000900D9"/>
    <w:rsid w:val="000947AC"/>
    <w:rsid w:val="00097589"/>
    <w:rsid w:val="000A27B9"/>
    <w:rsid w:val="000A7A09"/>
    <w:rsid w:val="000B06FC"/>
    <w:rsid w:val="000B16C5"/>
    <w:rsid w:val="000B28ED"/>
    <w:rsid w:val="000B6944"/>
    <w:rsid w:val="000C3BE3"/>
    <w:rsid w:val="000C6E22"/>
    <w:rsid w:val="000C74C3"/>
    <w:rsid w:val="000C7E18"/>
    <w:rsid w:val="000D168A"/>
    <w:rsid w:val="000D176E"/>
    <w:rsid w:val="000D21F9"/>
    <w:rsid w:val="000D235C"/>
    <w:rsid w:val="000E7569"/>
    <w:rsid w:val="000F5CBD"/>
    <w:rsid w:val="0010168C"/>
    <w:rsid w:val="00103438"/>
    <w:rsid w:val="00107538"/>
    <w:rsid w:val="00112A04"/>
    <w:rsid w:val="00114074"/>
    <w:rsid w:val="00117676"/>
    <w:rsid w:val="00117A2B"/>
    <w:rsid w:val="00120B66"/>
    <w:rsid w:val="00121DD7"/>
    <w:rsid w:val="001275F1"/>
    <w:rsid w:val="001318D8"/>
    <w:rsid w:val="00141847"/>
    <w:rsid w:val="00147548"/>
    <w:rsid w:val="001564E2"/>
    <w:rsid w:val="00156F99"/>
    <w:rsid w:val="0015772D"/>
    <w:rsid w:val="0016005B"/>
    <w:rsid w:val="00165AB3"/>
    <w:rsid w:val="001735AB"/>
    <w:rsid w:val="001739B7"/>
    <w:rsid w:val="00181A45"/>
    <w:rsid w:val="00182C07"/>
    <w:rsid w:val="0018352C"/>
    <w:rsid w:val="00186CA0"/>
    <w:rsid w:val="0019189D"/>
    <w:rsid w:val="00192667"/>
    <w:rsid w:val="001961EB"/>
    <w:rsid w:val="00196A3A"/>
    <w:rsid w:val="001A6882"/>
    <w:rsid w:val="001B0C34"/>
    <w:rsid w:val="001B1025"/>
    <w:rsid w:val="001B3D68"/>
    <w:rsid w:val="001B68F5"/>
    <w:rsid w:val="001C25C2"/>
    <w:rsid w:val="001C2600"/>
    <w:rsid w:val="001C28FB"/>
    <w:rsid w:val="001C2D6E"/>
    <w:rsid w:val="001C30F3"/>
    <w:rsid w:val="001C6614"/>
    <w:rsid w:val="001E2553"/>
    <w:rsid w:val="001E33A3"/>
    <w:rsid w:val="001E6D07"/>
    <w:rsid w:val="001F012E"/>
    <w:rsid w:val="001F1ACC"/>
    <w:rsid w:val="001F3C89"/>
    <w:rsid w:val="002019FA"/>
    <w:rsid w:val="00207271"/>
    <w:rsid w:val="0021221D"/>
    <w:rsid w:val="00213B09"/>
    <w:rsid w:val="00214EBE"/>
    <w:rsid w:val="0022542A"/>
    <w:rsid w:val="0022597B"/>
    <w:rsid w:val="00231204"/>
    <w:rsid w:val="00232D51"/>
    <w:rsid w:val="002330E6"/>
    <w:rsid w:val="002369AB"/>
    <w:rsid w:val="00241484"/>
    <w:rsid w:val="00245182"/>
    <w:rsid w:val="00246513"/>
    <w:rsid w:val="0025388C"/>
    <w:rsid w:val="00253D7B"/>
    <w:rsid w:val="00257ADD"/>
    <w:rsid w:val="00260E54"/>
    <w:rsid w:val="0026336E"/>
    <w:rsid w:val="002675B7"/>
    <w:rsid w:val="002737BF"/>
    <w:rsid w:val="002806BA"/>
    <w:rsid w:val="00280E0F"/>
    <w:rsid w:val="0028735D"/>
    <w:rsid w:val="00293AF0"/>
    <w:rsid w:val="0029651C"/>
    <w:rsid w:val="002A2BE1"/>
    <w:rsid w:val="002A562E"/>
    <w:rsid w:val="002A691B"/>
    <w:rsid w:val="002B10D1"/>
    <w:rsid w:val="002B22A6"/>
    <w:rsid w:val="002C0699"/>
    <w:rsid w:val="002C2975"/>
    <w:rsid w:val="002C2CAA"/>
    <w:rsid w:val="002C3294"/>
    <w:rsid w:val="002C44A4"/>
    <w:rsid w:val="002C791E"/>
    <w:rsid w:val="002D0920"/>
    <w:rsid w:val="002E333C"/>
    <w:rsid w:val="002E6605"/>
    <w:rsid w:val="002F3A02"/>
    <w:rsid w:val="002F416B"/>
    <w:rsid w:val="002F42AD"/>
    <w:rsid w:val="002F514D"/>
    <w:rsid w:val="002F62D0"/>
    <w:rsid w:val="00300EC9"/>
    <w:rsid w:val="0030160E"/>
    <w:rsid w:val="00301646"/>
    <w:rsid w:val="0030490B"/>
    <w:rsid w:val="00306A8E"/>
    <w:rsid w:val="003103F8"/>
    <w:rsid w:val="00315E8E"/>
    <w:rsid w:val="00326DAA"/>
    <w:rsid w:val="00330843"/>
    <w:rsid w:val="00330A47"/>
    <w:rsid w:val="00340976"/>
    <w:rsid w:val="00341223"/>
    <w:rsid w:val="00344C5F"/>
    <w:rsid w:val="00352722"/>
    <w:rsid w:val="00355214"/>
    <w:rsid w:val="00356D5F"/>
    <w:rsid w:val="00357C76"/>
    <w:rsid w:val="00361EEF"/>
    <w:rsid w:val="00363521"/>
    <w:rsid w:val="00370C61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6C4C"/>
    <w:rsid w:val="003A7392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6E99"/>
    <w:rsid w:val="003E7B08"/>
    <w:rsid w:val="003F0C83"/>
    <w:rsid w:val="003F2AE3"/>
    <w:rsid w:val="003F365A"/>
    <w:rsid w:val="00402A79"/>
    <w:rsid w:val="00403A48"/>
    <w:rsid w:val="004041F0"/>
    <w:rsid w:val="00405F8C"/>
    <w:rsid w:val="004074F3"/>
    <w:rsid w:val="00412A56"/>
    <w:rsid w:val="004139A1"/>
    <w:rsid w:val="00414956"/>
    <w:rsid w:val="004156FD"/>
    <w:rsid w:val="004158A3"/>
    <w:rsid w:val="0042005B"/>
    <w:rsid w:val="004266DB"/>
    <w:rsid w:val="004349C4"/>
    <w:rsid w:val="0043619E"/>
    <w:rsid w:val="00437793"/>
    <w:rsid w:val="004400CC"/>
    <w:rsid w:val="0044070F"/>
    <w:rsid w:val="00442E1B"/>
    <w:rsid w:val="004446D8"/>
    <w:rsid w:val="004515F9"/>
    <w:rsid w:val="004518C1"/>
    <w:rsid w:val="00453B97"/>
    <w:rsid w:val="00454AD4"/>
    <w:rsid w:val="0045690A"/>
    <w:rsid w:val="00456EA8"/>
    <w:rsid w:val="00457259"/>
    <w:rsid w:val="00464657"/>
    <w:rsid w:val="00467A47"/>
    <w:rsid w:val="00472040"/>
    <w:rsid w:val="004724A0"/>
    <w:rsid w:val="00474D3C"/>
    <w:rsid w:val="00480715"/>
    <w:rsid w:val="00482C35"/>
    <w:rsid w:val="00483C77"/>
    <w:rsid w:val="00485AB3"/>
    <w:rsid w:val="00486EC6"/>
    <w:rsid w:val="004901D9"/>
    <w:rsid w:val="004929D6"/>
    <w:rsid w:val="00492A22"/>
    <w:rsid w:val="004A068C"/>
    <w:rsid w:val="004A14D0"/>
    <w:rsid w:val="004A18CA"/>
    <w:rsid w:val="004A1B76"/>
    <w:rsid w:val="004B1FC4"/>
    <w:rsid w:val="004B34EB"/>
    <w:rsid w:val="004B5643"/>
    <w:rsid w:val="004B5805"/>
    <w:rsid w:val="004C1504"/>
    <w:rsid w:val="004C3D25"/>
    <w:rsid w:val="004C7DDB"/>
    <w:rsid w:val="004D1B61"/>
    <w:rsid w:val="004D2A89"/>
    <w:rsid w:val="004D4C37"/>
    <w:rsid w:val="004D6EDA"/>
    <w:rsid w:val="004D754E"/>
    <w:rsid w:val="004E0319"/>
    <w:rsid w:val="004E6B14"/>
    <w:rsid w:val="004E6F9B"/>
    <w:rsid w:val="004F000B"/>
    <w:rsid w:val="004F5184"/>
    <w:rsid w:val="004F5D74"/>
    <w:rsid w:val="004F67B3"/>
    <w:rsid w:val="004F7D7C"/>
    <w:rsid w:val="005042D9"/>
    <w:rsid w:val="00504E68"/>
    <w:rsid w:val="00510D17"/>
    <w:rsid w:val="0051127B"/>
    <w:rsid w:val="00511FA6"/>
    <w:rsid w:val="005125DD"/>
    <w:rsid w:val="005127C1"/>
    <w:rsid w:val="00517CD1"/>
    <w:rsid w:val="005234F6"/>
    <w:rsid w:val="00523B51"/>
    <w:rsid w:val="00526FAE"/>
    <w:rsid w:val="005271AF"/>
    <w:rsid w:val="0053158C"/>
    <w:rsid w:val="00535130"/>
    <w:rsid w:val="00537646"/>
    <w:rsid w:val="00537F4D"/>
    <w:rsid w:val="00540549"/>
    <w:rsid w:val="00541F29"/>
    <w:rsid w:val="005441C9"/>
    <w:rsid w:val="00544AED"/>
    <w:rsid w:val="00544F2D"/>
    <w:rsid w:val="00545EF2"/>
    <w:rsid w:val="00546639"/>
    <w:rsid w:val="00546F2F"/>
    <w:rsid w:val="005501B2"/>
    <w:rsid w:val="00554279"/>
    <w:rsid w:val="0055675F"/>
    <w:rsid w:val="00557E37"/>
    <w:rsid w:val="005600A3"/>
    <w:rsid w:val="00561909"/>
    <w:rsid w:val="00563D55"/>
    <w:rsid w:val="00566D39"/>
    <w:rsid w:val="005739D2"/>
    <w:rsid w:val="005765AF"/>
    <w:rsid w:val="00582421"/>
    <w:rsid w:val="00582A06"/>
    <w:rsid w:val="005865C0"/>
    <w:rsid w:val="00586E48"/>
    <w:rsid w:val="00590C20"/>
    <w:rsid w:val="005918B1"/>
    <w:rsid w:val="00592337"/>
    <w:rsid w:val="005956AD"/>
    <w:rsid w:val="00595EEB"/>
    <w:rsid w:val="00596FB7"/>
    <w:rsid w:val="005A1758"/>
    <w:rsid w:val="005A3226"/>
    <w:rsid w:val="005A4C6B"/>
    <w:rsid w:val="005A5313"/>
    <w:rsid w:val="005A67D5"/>
    <w:rsid w:val="005B1FD7"/>
    <w:rsid w:val="005B46C3"/>
    <w:rsid w:val="005B71D7"/>
    <w:rsid w:val="005C1B17"/>
    <w:rsid w:val="005C3AC7"/>
    <w:rsid w:val="005C5750"/>
    <w:rsid w:val="005C6978"/>
    <w:rsid w:val="005D1BC8"/>
    <w:rsid w:val="005D2847"/>
    <w:rsid w:val="005D536B"/>
    <w:rsid w:val="005D7B1D"/>
    <w:rsid w:val="005D7C41"/>
    <w:rsid w:val="005E24A5"/>
    <w:rsid w:val="005E28F7"/>
    <w:rsid w:val="005E6E78"/>
    <w:rsid w:val="005F4560"/>
    <w:rsid w:val="005F4599"/>
    <w:rsid w:val="005F4BAD"/>
    <w:rsid w:val="0060230A"/>
    <w:rsid w:val="0060264E"/>
    <w:rsid w:val="00610B52"/>
    <w:rsid w:val="0061246B"/>
    <w:rsid w:val="00613316"/>
    <w:rsid w:val="00616B7C"/>
    <w:rsid w:val="006230D5"/>
    <w:rsid w:val="00625391"/>
    <w:rsid w:val="006261ED"/>
    <w:rsid w:val="00626EAA"/>
    <w:rsid w:val="006272A0"/>
    <w:rsid w:val="00632E20"/>
    <w:rsid w:val="00635285"/>
    <w:rsid w:val="00651F64"/>
    <w:rsid w:val="00654908"/>
    <w:rsid w:val="00654DDD"/>
    <w:rsid w:val="0065774A"/>
    <w:rsid w:val="006610CF"/>
    <w:rsid w:val="00663742"/>
    <w:rsid w:val="006676D5"/>
    <w:rsid w:val="00670604"/>
    <w:rsid w:val="00672013"/>
    <w:rsid w:val="006734E2"/>
    <w:rsid w:val="006865E3"/>
    <w:rsid w:val="0068705A"/>
    <w:rsid w:val="0069576E"/>
    <w:rsid w:val="006A097D"/>
    <w:rsid w:val="006A3A30"/>
    <w:rsid w:val="006B3311"/>
    <w:rsid w:val="006B6FE1"/>
    <w:rsid w:val="006C2563"/>
    <w:rsid w:val="006D5DAD"/>
    <w:rsid w:val="006D7F8F"/>
    <w:rsid w:val="006E0A0F"/>
    <w:rsid w:val="006E3EAF"/>
    <w:rsid w:val="006E5725"/>
    <w:rsid w:val="006E6DB8"/>
    <w:rsid w:val="006E753E"/>
    <w:rsid w:val="006F108F"/>
    <w:rsid w:val="006F2EE7"/>
    <w:rsid w:val="006F3488"/>
    <w:rsid w:val="006F4BEE"/>
    <w:rsid w:val="006F75FD"/>
    <w:rsid w:val="00703C91"/>
    <w:rsid w:val="0071377D"/>
    <w:rsid w:val="0071443A"/>
    <w:rsid w:val="00716258"/>
    <w:rsid w:val="007167F1"/>
    <w:rsid w:val="00722A5E"/>
    <w:rsid w:val="00723ABF"/>
    <w:rsid w:val="00730B51"/>
    <w:rsid w:val="00735D21"/>
    <w:rsid w:val="007436AD"/>
    <w:rsid w:val="00747667"/>
    <w:rsid w:val="007478AB"/>
    <w:rsid w:val="00747A18"/>
    <w:rsid w:val="00747A43"/>
    <w:rsid w:val="0075064A"/>
    <w:rsid w:val="007534C4"/>
    <w:rsid w:val="00763D08"/>
    <w:rsid w:val="007644CD"/>
    <w:rsid w:val="00764E91"/>
    <w:rsid w:val="00765605"/>
    <w:rsid w:val="00770B9B"/>
    <w:rsid w:val="007712AB"/>
    <w:rsid w:val="00773E70"/>
    <w:rsid w:val="007741C8"/>
    <w:rsid w:val="00775458"/>
    <w:rsid w:val="007761AB"/>
    <w:rsid w:val="00777F7F"/>
    <w:rsid w:val="00780B2C"/>
    <w:rsid w:val="007830B2"/>
    <w:rsid w:val="00785692"/>
    <w:rsid w:val="007862A1"/>
    <w:rsid w:val="00790CCB"/>
    <w:rsid w:val="007929A6"/>
    <w:rsid w:val="00792F30"/>
    <w:rsid w:val="00795368"/>
    <w:rsid w:val="00796082"/>
    <w:rsid w:val="007A01F4"/>
    <w:rsid w:val="007A7720"/>
    <w:rsid w:val="007A77FA"/>
    <w:rsid w:val="007A7A66"/>
    <w:rsid w:val="007B4324"/>
    <w:rsid w:val="007B4E34"/>
    <w:rsid w:val="007B6912"/>
    <w:rsid w:val="007C0480"/>
    <w:rsid w:val="007C44D6"/>
    <w:rsid w:val="007C535E"/>
    <w:rsid w:val="007C5D27"/>
    <w:rsid w:val="007C5F9A"/>
    <w:rsid w:val="007C7CD4"/>
    <w:rsid w:val="007D028D"/>
    <w:rsid w:val="007D7150"/>
    <w:rsid w:val="007E171C"/>
    <w:rsid w:val="007E1813"/>
    <w:rsid w:val="007E4070"/>
    <w:rsid w:val="007E4C44"/>
    <w:rsid w:val="007F428A"/>
    <w:rsid w:val="007F651C"/>
    <w:rsid w:val="00801AF1"/>
    <w:rsid w:val="00803A1F"/>
    <w:rsid w:val="00807379"/>
    <w:rsid w:val="008122B9"/>
    <w:rsid w:val="00814334"/>
    <w:rsid w:val="00815EE7"/>
    <w:rsid w:val="00816D04"/>
    <w:rsid w:val="00817777"/>
    <w:rsid w:val="00820668"/>
    <w:rsid w:val="008215BA"/>
    <w:rsid w:val="00821892"/>
    <w:rsid w:val="00822C8B"/>
    <w:rsid w:val="008271BF"/>
    <w:rsid w:val="00831ED5"/>
    <w:rsid w:val="008326AD"/>
    <w:rsid w:val="008407B0"/>
    <w:rsid w:val="00842BCF"/>
    <w:rsid w:val="00843A5E"/>
    <w:rsid w:val="00850882"/>
    <w:rsid w:val="00850A0E"/>
    <w:rsid w:val="00851CF1"/>
    <w:rsid w:val="008532F4"/>
    <w:rsid w:val="008541B0"/>
    <w:rsid w:val="00855C82"/>
    <w:rsid w:val="00861BC7"/>
    <w:rsid w:val="00861BF3"/>
    <w:rsid w:val="0086572F"/>
    <w:rsid w:val="0086586E"/>
    <w:rsid w:val="0087038F"/>
    <w:rsid w:val="008731C4"/>
    <w:rsid w:val="00873813"/>
    <w:rsid w:val="008746A1"/>
    <w:rsid w:val="00875ADE"/>
    <w:rsid w:val="00876139"/>
    <w:rsid w:val="0087698C"/>
    <w:rsid w:val="008808C8"/>
    <w:rsid w:val="00880917"/>
    <w:rsid w:val="008815D2"/>
    <w:rsid w:val="00882163"/>
    <w:rsid w:val="00883A8E"/>
    <w:rsid w:val="00884EF0"/>
    <w:rsid w:val="00893A74"/>
    <w:rsid w:val="0089584E"/>
    <w:rsid w:val="00897377"/>
    <w:rsid w:val="008A0F83"/>
    <w:rsid w:val="008A2037"/>
    <w:rsid w:val="008A6978"/>
    <w:rsid w:val="008B1821"/>
    <w:rsid w:val="008B727B"/>
    <w:rsid w:val="008B746A"/>
    <w:rsid w:val="008C09B1"/>
    <w:rsid w:val="008C3123"/>
    <w:rsid w:val="008C426A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1326E"/>
    <w:rsid w:val="009213FC"/>
    <w:rsid w:val="009222E8"/>
    <w:rsid w:val="00922387"/>
    <w:rsid w:val="00926081"/>
    <w:rsid w:val="00927A54"/>
    <w:rsid w:val="009344D1"/>
    <w:rsid w:val="009355FC"/>
    <w:rsid w:val="009368B1"/>
    <w:rsid w:val="009400C5"/>
    <w:rsid w:val="0094062D"/>
    <w:rsid w:val="00942275"/>
    <w:rsid w:val="00947512"/>
    <w:rsid w:val="00954D5A"/>
    <w:rsid w:val="0096040D"/>
    <w:rsid w:val="0096255C"/>
    <w:rsid w:val="0096562A"/>
    <w:rsid w:val="009716D6"/>
    <w:rsid w:val="00974CFD"/>
    <w:rsid w:val="0097624E"/>
    <w:rsid w:val="009763A3"/>
    <w:rsid w:val="00976991"/>
    <w:rsid w:val="00977AAC"/>
    <w:rsid w:val="009820FC"/>
    <w:rsid w:val="0098305E"/>
    <w:rsid w:val="00991444"/>
    <w:rsid w:val="009941A8"/>
    <w:rsid w:val="009A2A8F"/>
    <w:rsid w:val="009A7D28"/>
    <w:rsid w:val="009B1908"/>
    <w:rsid w:val="009B2187"/>
    <w:rsid w:val="009C01A9"/>
    <w:rsid w:val="009C061F"/>
    <w:rsid w:val="009C1168"/>
    <w:rsid w:val="009C1336"/>
    <w:rsid w:val="009C16FB"/>
    <w:rsid w:val="009C2D5A"/>
    <w:rsid w:val="009C433F"/>
    <w:rsid w:val="009C728C"/>
    <w:rsid w:val="009E0CEE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BD4"/>
    <w:rsid w:val="00A1304D"/>
    <w:rsid w:val="00A15535"/>
    <w:rsid w:val="00A15E65"/>
    <w:rsid w:val="00A2453C"/>
    <w:rsid w:val="00A27CDB"/>
    <w:rsid w:val="00A31411"/>
    <w:rsid w:val="00A36AA7"/>
    <w:rsid w:val="00A433D8"/>
    <w:rsid w:val="00A43715"/>
    <w:rsid w:val="00A450B9"/>
    <w:rsid w:val="00A51362"/>
    <w:rsid w:val="00A5238A"/>
    <w:rsid w:val="00A537DB"/>
    <w:rsid w:val="00A53C63"/>
    <w:rsid w:val="00A60D7F"/>
    <w:rsid w:val="00A71544"/>
    <w:rsid w:val="00A751FA"/>
    <w:rsid w:val="00A7766B"/>
    <w:rsid w:val="00A7781C"/>
    <w:rsid w:val="00A84A43"/>
    <w:rsid w:val="00A850E8"/>
    <w:rsid w:val="00A86B2E"/>
    <w:rsid w:val="00A91E19"/>
    <w:rsid w:val="00A94160"/>
    <w:rsid w:val="00A953C6"/>
    <w:rsid w:val="00A957AD"/>
    <w:rsid w:val="00A974DC"/>
    <w:rsid w:val="00AA1696"/>
    <w:rsid w:val="00AA186E"/>
    <w:rsid w:val="00AA34EC"/>
    <w:rsid w:val="00AA7E41"/>
    <w:rsid w:val="00AB5324"/>
    <w:rsid w:val="00AB780E"/>
    <w:rsid w:val="00AC08BB"/>
    <w:rsid w:val="00AC0FDD"/>
    <w:rsid w:val="00AC5C81"/>
    <w:rsid w:val="00AD19EC"/>
    <w:rsid w:val="00AD5257"/>
    <w:rsid w:val="00AE19F1"/>
    <w:rsid w:val="00AE2A11"/>
    <w:rsid w:val="00AE4FBC"/>
    <w:rsid w:val="00AE6FEB"/>
    <w:rsid w:val="00AF0645"/>
    <w:rsid w:val="00AF1AF0"/>
    <w:rsid w:val="00B0128A"/>
    <w:rsid w:val="00B01ECD"/>
    <w:rsid w:val="00B07228"/>
    <w:rsid w:val="00B078B5"/>
    <w:rsid w:val="00B10BD6"/>
    <w:rsid w:val="00B12C52"/>
    <w:rsid w:val="00B216ED"/>
    <w:rsid w:val="00B25D4F"/>
    <w:rsid w:val="00B31A90"/>
    <w:rsid w:val="00B337FD"/>
    <w:rsid w:val="00B37B1F"/>
    <w:rsid w:val="00B413A4"/>
    <w:rsid w:val="00B4478F"/>
    <w:rsid w:val="00B45A09"/>
    <w:rsid w:val="00B46ECF"/>
    <w:rsid w:val="00B55660"/>
    <w:rsid w:val="00B55770"/>
    <w:rsid w:val="00B56CE8"/>
    <w:rsid w:val="00B5769B"/>
    <w:rsid w:val="00B57A47"/>
    <w:rsid w:val="00B64426"/>
    <w:rsid w:val="00B6499A"/>
    <w:rsid w:val="00B64AD3"/>
    <w:rsid w:val="00B6545A"/>
    <w:rsid w:val="00B70C94"/>
    <w:rsid w:val="00B7140A"/>
    <w:rsid w:val="00B721EC"/>
    <w:rsid w:val="00B72925"/>
    <w:rsid w:val="00B75EAF"/>
    <w:rsid w:val="00B77279"/>
    <w:rsid w:val="00B8123B"/>
    <w:rsid w:val="00B8160D"/>
    <w:rsid w:val="00B83E15"/>
    <w:rsid w:val="00B85285"/>
    <w:rsid w:val="00B859DC"/>
    <w:rsid w:val="00B86FD6"/>
    <w:rsid w:val="00B9074C"/>
    <w:rsid w:val="00B90969"/>
    <w:rsid w:val="00B90FD4"/>
    <w:rsid w:val="00B922D6"/>
    <w:rsid w:val="00B930ED"/>
    <w:rsid w:val="00B955C2"/>
    <w:rsid w:val="00BB0C39"/>
    <w:rsid w:val="00BB149A"/>
    <w:rsid w:val="00BB1FAD"/>
    <w:rsid w:val="00BC597A"/>
    <w:rsid w:val="00BD2C9D"/>
    <w:rsid w:val="00BD3761"/>
    <w:rsid w:val="00BD5021"/>
    <w:rsid w:val="00BD512D"/>
    <w:rsid w:val="00BD6A48"/>
    <w:rsid w:val="00BE00E5"/>
    <w:rsid w:val="00BE2BF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0093"/>
    <w:rsid w:val="00C02BB6"/>
    <w:rsid w:val="00C057B1"/>
    <w:rsid w:val="00C13361"/>
    <w:rsid w:val="00C14004"/>
    <w:rsid w:val="00C20EA4"/>
    <w:rsid w:val="00C232DE"/>
    <w:rsid w:val="00C253A1"/>
    <w:rsid w:val="00C25456"/>
    <w:rsid w:val="00C32F96"/>
    <w:rsid w:val="00C34FC7"/>
    <w:rsid w:val="00C370DA"/>
    <w:rsid w:val="00C46AF3"/>
    <w:rsid w:val="00C46D26"/>
    <w:rsid w:val="00C47BAE"/>
    <w:rsid w:val="00C56E21"/>
    <w:rsid w:val="00C703BC"/>
    <w:rsid w:val="00C742C6"/>
    <w:rsid w:val="00C77D96"/>
    <w:rsid w:val="00C874BB"/>
    <w:rsid w:val="00C9113A"/>
    <w:rsid w:val="00C935D4"/>
    <w:rsid w:val="00C955F9"/>
    <w:rsid w:val="00CA3CA7"/>
    <w:rsid w:val="00CA4F4E"/>
    <w:rsid w:val="00CA6123"/>
    <w:rsid w:val="00CA7507"/>
    <w:rsid w:val="00CC0C2D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F0A32"/>
    <w:rsid w:val="00D06270"/>
    <w:rsid w:val="00D0642F"/>
    <w:rsid w:val="00D07C15"/>
    <w:rsid w:val="00D10410"/>
    <w:rsid w:val="00D129FB"/>
    <w:rsid w:val="00D1597C"/>
    <w:rsid w:val="00D23093"/>
    <w:rsid w:val="00D26DD1"/>
    <w:rsid w:val="00D27B58"/>
    <w:rsid w:val="00D30CCD"/>
    <w:rsid w:val="00D342BD"/>
    <w:rsid w:val="00D36EBE"/>
    <w:rsid w:val="00D41E78"/>
    <w:rsid w:val="00D43E87"/>
    <w:rsid w:val="00D466FA"/>
    <w:rsid w:val="00D506CE"/>
    <w:rsid w:val="00D51537"/>
    <w:rsid w:val="00D5261D"/>
    <w:rsid w:val="00D54D69"/>
    <w:rsid w:val="00D55B45"/>
    <w:rsid w:val="00D56F51"/>
    <w:rsid w:val="00D65CF8"/>
    <w:rsid w:val="00D66333"/>
    <w:rsid w:val="00D7224D"/>
    <w:rsid w:val="00D738DB"/>
    <w:rsid w:val="00D73BF6"/>
    <w:rsid w:val="00D75721"/>
    <w:rsid w:val="00D76EE6"/>
    <w:rsid w:val="00D779EC"/>
    <w:rsid w:val="00D859C5"/>
    <w:rsid w:val="00D93B37"/>
    <w:rsid w:val="00D94682"/>
    <w:rsid w:val="00D94EFD"/>
    <w:rsid w:val="00D95955"/>
    <w:rsid w:val="00D963D1"/>
    <w:rsid w:val="00DA4681"/>
    <w:rsid w:val="00DB392B"/>
    <w:rsid w:val="00DC0D88"/>
    <w:rsid w:val="00DC18EC"/>
    <w:rsid w:val="00DC36D5"/>
    <w:rsid w:val="00DC5C01"/>
    <w:rsid w:val="00DC7C40"/>
    <w:rsid w:val="00DD0507"/>
    <w:rsid w:val="00DD4E58"/>
    <w:rsid w:val="00DD6D84"/>
    <w:rsid w:val="00DE0624"/>
    <w:rsid w:val="00DE3152"/>
    <w:rsid w:val="00DE5528"/>
    <w:rsid w:val="00DE5917"/>
    <w:rsid w:val="00DF1857"/>
    <w:rsid w:val="00DF2842"/>
    <w:rsid w:val="00DF61CF"/>
    <w:rsid w:val="00DF633E"/>
    <w:rsid w:val="00E010C0"/>
    <w:rsid w:val="00E01295"/>
    <w:rsid w:val="00E01F0D"/>
    <w:rsid w:val="00E04607"/>
    <w:rsid w:val="00E059F8"/>
    <w:rsid w:val="00E11B15"/>
    <w:rsid w:val="00E13F6E"/>
    <w:rsid w:val="00E16056"/>
    <w:rsid w:val="00E1687B"/>
    <w:rsid w:val="00E17A5C"/>
    <w:rsid w:val="00E219BE"/>
    <w:rsid w:val="00E2425B"/>
    <w:rsid w:val="00E24450"/>
    <w:rsid w:val="00E27CD6"/>
    <w:rsid w:val="00E313B2"/>
    <w:rsid w:val="00E319D2"/>
    <w:rsid w:val="00E33B2E"/>
    <w:rsid w:val="00E3680A"/>
    <w:rsid w:val="00E43ECE"/>
    <w:rsid w:val="00E530DA"/>
    <w:rsid w:val="00E53851"/>
    <w:rsid w:val="00E55BD5"/>
    <w:rsid w:val="00E562E6"/>
    <w:rsid w:val="00E56641"/>
    <w:rsid w:val="00E60B2C"/>
    <w:rsid w:val="00E61B4A"/>
    <w:rsid w:val="00E63D93"/>
    <w:rsid w:val="00E641E6"/>
    <w:rsid w:val="00E66756"/>
    <w:rsid w:val="00E70536"/>
    <w:rsid w:val="00E7073F"/>
    <w:rsid w:val="00E70C3A"/>
    <w:rsid w:val="00E725CC"/>
    <w:rsid w:val="00E860BD"/>
    <w:rsid w:val="00E957DB"/>
    <w:rsid w:val="00E966B7"/>
    <w:rsid w:val="00EA22BA"/>
    <w:rsid w:val="00EA53C8"/>
    <w:rsid w:val="00EA7AC0"/>
    <w:rsid w:val="00EB08A9"/>
    <w:rsid w:val="00EB1B98"/>
    <w:rsid w:val="00EB46C8"/>
    <w:rsid w:val="00EB7CBB"/>
    <w:rsid w:val="00EC1FE1"/>
    <w:rsid w:val="00EC46D7"/>
    <w:rsid w:val="00EC5F81"/>
    <w:rsid w:val="00EC6347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10E3"/>
    <w:rsid w:val="00EF522F"/>
    <w:rsid w:val="00EF702B"/>
    <w:rsid w:val="00F0466F"/>
    <w:rsid w:val="00F12559"/>
    <w:rsid w:val="00F135B2"/>
    <w:rsid w:val="00F150DE"/>
    <w:rsid w:val="00F21649"/>
    <w:rsid w:val="00F25309"/>
    <w:rsid w:val="00F357C4"/>
    <w:rsid w:val="00F36310"/>
    <w:rsid w:val="00F37C20"/>
    <w:rsid w:val="00F413FA"/>
    <w:rsid w:val="00F42E0A"/>
    <w:rsid w:val="00F45DF7"/>
    <w:rsid w:val="00F46196"/>
    <w:rsid w:val="00F51774"/>
    <w:rsid w:val="00F523C9"/>
    <w:rsid w:val="00F5419E"/>
    <w:rsid w:val="00F55153"/>
    <w:rsid w:val="00F55BB8"/>
    <w:rsid w:val="00F56AC1"/>
    <w:rsid w:val="00F60FDB"/>
    <w:rsid w:val="00F62DE2"/>
    <w:rsid w:val="00F63ABC"/>
    <w:rsid w:val="00F66C33"/>
    <w:rsid w:val="00F70A7F"/>
    <w:rsid w:val="00F70B1D"/>
    <w:rsid w:val="00F7362E"/>
    <w:rsid w:val="00F7549C"/>
    <w:rsid w:val="00F773CE"/>
    <w:rsid w:val="00F83211"/>
    <w:rsid w:val="00F85900"/>
    <w:rsid w:val="00F92472"/>
    <w:rsid w:val="00F95A04"/>
    <w:rsid w:val="00F97E6D"/>
    <w:rsid w:val="00FA160E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4F6B"/>
    <w:rsid w:val="00FC6EAA"/>
    <w:rsid w:val="00FD43F8"/>
    <w:rsid w:val="00FD61D5"/>
    <w:rsid w:val="00FE0A91"/>
    <w:rsid w:val="00FE0B96"/>
    <w:rsid w:val="00FE1BF4"/>
    <w:rsid w:val="00FE287F"/>
    <w:rsid w:val="00FE62C9"/>
    <w:rsid w:val="00FF18AB"/>
    <w:rsid w:val="00FF2B2D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3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0" ma:contentTypeDescription="Izveidot jaunu dokumentu." ma:contentTypeScope="" ma:versionID="9b92c4134d3415340e51d81a7efbbc8d">
  <xsd:schema xmlns:xsd="http://www.w3.org/2001/XMLSchema" xmlns:xs="http://www.w3.org/2001/XMLSchema" xmlns:p="http://schemas.microsoft.com/office/2006/metadata/properties" xmlns:ns3="2908de0b-3e80-4a77-b74c-b833db9e3692" targetNamespace="http://schemas.microsoft.com/office/2006/metadata/properties" ma:root="true" ma:fieldsID="a8c7373ea7baf162bc9cfbe0b925c909" ns3:_="">
    <xsd:import namespace="2908de0b-3e80-4a77-b74c-b833db9e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998E4-053A-4EBD-A536-97DAD241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2EB05-D676-46F1-A6AA-872B8C66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194</cp:revision>
  <cp:lastPrinted>2020-12-11T11:10:00Z</cp:lastPrinted>
  <dcterms:created xsi:type="dcterms:W3CDTF">2021-04-19T11:20:00Z</dcterms:created>
  <dcterms:modified xsi:type="dcterms:W3CDTF">2021-04-20T09:26:00Z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