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3F72" w14:textId="05F2BF05" w:rsidR="00241BD9" w:rsidRPr="00B773F4" w:rsidRDefault="00241BD9" w:rsidP="00241BD9">
      <w:pPr>
        <w:jc w:val="right"/>
        <w:rPr>
          <w:rFonts w:ascii="Times New Roman" w:hAnsi="Times New Roman"/>
          <w:b/>
          <w:bCs/>
          <w:szCs w:val="24"/>
        </w:rPr>
      </w:pPr>
      <w:r>
        <w:rPr>
          <w:rFonts w:ascii="Times New Roman" w:hAnsi="Times New Roman"/>
          <w:b/>
          <w:bCs/>
          <w:szCs w:val="24"/>
        </w:rPr>
        <w:t>1.</w:t>
      </w:r>
      <w:r w:rsidRPr="00B773F4">
        <w:rPr>
          <w:rFonts w:ascii="Times New Roman" w:hAnsi="Times New Roman"/>
          <w:b/>
          <w:bCs/>
          <w:szCs w:val="24"/>
        </w:rPr>
        <w:t>. pielikums</w:t>
      </w:r>
    </w:p>
    <w:p w14:paraId="673E3597" w14:textId="77777777" w:rsidR="00241BD9" w:rsidRPr="00B773F4" w:rsidRDefault="00241BD9" w:rsidP="00241BD9">
      <w:pPr>
        <w:ind w:left="644"/>
        <w:jc w:val="right"/>
        <w:rPr>
          <w:rFonts w:ascii="Times New Roman" w:hAnsi="Times New Roman"/>
          <w:szCs w:val="24"/>
        </w:rPr>
      </w:pPr>
      <w:r w:rsidRPr="00B773F4">
        <w:rPr>
          <w:rFonts w:ascii="Times New Roman" w:hAnsi="Times New Roman"/>
          <w:szCs w:val="24"/>
        </w:rPr>
        <w:t>“RP SIA „Rīgas satiksme” īpašuma apdrošināšana”</w:t>
      </w:r>
    </w:p>
    <w:p w14:paraId="451396D5" w14:textId="77777777" w:rsidR="00241BD9" w:rsidRDefault="00241BD9" w:rsidP="00241BD9">
      <w:pPr>
        <w:spacing w:before="120" w:after="120"/>
        <w:ind w:left="644"/>
        <w:jc w:val="center"/>
        <w:rPr>
          <w:rFonts w:ascii="Times New Roman" w:hAnsi="Times New Roman"/>
          <w:b/>
          <w:bCs/>
          <w:szCs w:val="24"/>
        </w:rPr>
      </w:pPr>
      <w:r>
        <w:rPr>
          <w:rFonts w:ascii="Times New Roman" w:hAnsi="Times New Roman"/>
          <w:b/>
          <w:bCs/>
          <w:szCs w:val="24"/>
        </w:rPr>
        <w:t>Tehniskā specifikācija</w:t>
      </w:r>
    </w:p>
    <w:tbl>
      <w:tblPr>
        <w:tblW w:w="4972" w:type="pct"/>
        <w:tblLook w:val="00A0" w:firstRow="1" w:lastRow="0" w:firstColumn="1" w:lastColumn="0" w:noHBand="0" w:noVBand="0"/>
      </w:tblPr>
      <w:tblGrid>
        <w:gridCol w:w="767"/>
        <w:gridCol w:w="7270"/>
        <w:gridCol w:w="222"/>
      </w:tblGrid>
      <w:tr w:rsidR="00241BD9" w:rsidRPr="005C2884" w14:paraId="6C575C26" w14:textId="77777777" w:rsidTr="00F712FC">
        <w:tc>
          <w:tcPr>
            <w:tcW w:w="410" w:type="pct"/>
          </w:tcPr>
          <w:p w14:paraId="1B8E4E9C" w14:textId="77777777" w:rsidR="00241BD9" w:rsidRPr="005C2884" w:rsidRDefault="00241BD9" w:rsidP="00F712FC">
            <w:pPr>
              <w:spacing w:after="200" w:line="276" w:lineRule="auto"/>
              <w:jc w:val="center"/>
              <w:rPr>
                <w:rFonts w:eastAsia="Arial" w:cs="Arial"/>
                <w:b/>
                <w:sz w:val="18"/>
                <w:szCs w:val="18"/>
              </w:rPr>
            </w:pPr>
          </w:p>
          <w:p w14:paraId="3D6A795C" w14:textId="77777777" w:rsidR="00241BD9" w:rsidRPr="005C2884" w:rsidRDefault="00241BD9" w:rsidP="00F712FC">
            <w:pPr>
              <w:spacing w:after="200" w:line="276" w:lineRule="auto"/>
              <w:jc w:val="center"/>
              <w:rPr>
                <w:rFonts w:eastAsia="Arial" w:cs="Arial"/>
                <w:b/>
                <w:sz w:val="18"/>
                <w:szCs w:val="18"/>
              </w:rPr>
            </w:pPr>
          </w:p>
          <w:p w14:paraId="38BE8B39" w14:textId="77777777" w:rsidR="00241BD9" w:rsidRPr="005C2884" w:rsidRDefault="00241BD9" w:rsidP="00F712FC">
            <w:pPr>
              <w:spacing w:after="200" w:line="276" w:lineRule="auto"/>
              <w:rPr>
                <w:rFonts w:eastAsia="Arial" w:cs="Arial"/>
                <w:b/>
                <w:sz w:val="18"/>
                <w:szCs w:val="18"/>
              </w:rPr>
            </w:pPr>
          </w:p>
        </w:tc>
        <w:tc>
          <w:tcPr>
            <w:tcW w:w="4471" w:type="pct"/>
          </w:tcPr>
          <w:p w14:paraId="00EFEA85" w14:textId="77777777" w:rsidR="00241BD9" w:rsidRPr="005C2884" w:rsidRDefault="00241BD9" w:rsidP="00F712FC">
            <w:pPr>
              <w:spacing w:line="276" w:lineRule="auto"/>
              <w:rPr>
                <w:rFonts w:cs="Arial"/>
                <w:b/>
                <w:bCs/>
                <w:sz w:val="18"/>
                <w:szCs w:val="18"/>
              </w:rPr>
            </w:pPr>
          </w:p>
          <w:tbl>
            <w:tblPr>
              <w:tblpPr w:leftFromText="180" w:rightFromText="180" w:vertAnchor="text" w:horzAnchor="margin" w:tblpX="-709" w:tblpY="-174"/>
              <w:tblOverlap w:val="never"/>
              <w:tblW w:w="6946" w:type="dxa"/>
              <w:tblBorders>
                <w:top w:val="single" w:sz="2" w:space="0" w:color="FF9999"/>
                <w:bottom w:val="single" w:sz="2" w:space="0" w:color="FF9999"/>
                <w:insideH w:val="single" w:sz="2" w:space="0" w:color="FF9999"/>
                <w:insideV w:val="single" w:sz="2" w:space="0" w:color="FF9999"/>
              </w:tblBorders>
              <w:tblLook w:val="01E0" w:firstRow="1" w:lastRow="1" w:firstColumn="1" w:lastColumn="1" w:noHBand="0" w:noVBand="0"/>
            </w:tblPr>
            <w:tblGrid>
              <w:gridCol w:w="3261"/>
              <w:gridCol w:w="1984"/>
              <w:gridCol w:w="1701"/>
            </w:tblGrid>
            <w:tr w:rsidR="00241BD9" w:rsidRPr="005C2884" w14:paraId="2A61E180" w14:textId="77777777" w:rsidTr="004A0C22">
              <w:trPr>
                <w:trHeight w:val="178"/>
              </w:trPr>
              <w:tc>
                <w:tcPr>
                  <w:tcW w:w="3261" w:type="dxa"/>
                  <w:tcBorders>
                    <w:top w:val="single" w:sz="2" w:space="0" w:color="FF9999"/>
                    <w:left w:val="nil"/>
                    <w:bottom w:val="single" w:sz="2" w:space="0" w:color="FF9999"/>
                    <w:right w:val="single" w:sz="2" w:space="0" w:color="FF9999"/>
                  </w:tcBorders>
                  <w:shd w:val="clear" w:color="auto" w:fill="FF6C6C"/>
                  <w:noWrap/>
                  <w:hideMark/>
                </w:tcPr>
                <w:p w14:paraId="0F049782" w14:textId="77777777" w:rsidR="00241BD9" w:rsidRPr="005C2884" w:rsidRDefault="00241BD9" w:rsidP="00F712FC">
                  <w:pPr>
                    <w:rPr>
                      <w:rFonts w:cs="Arial"/>
                      <w:b/>
                      <w:bCs/>
                      <w:color w:val="FFFFFF"/>
                      <w:sz w:val="18"/>
                      <w:szCs w:val="18"/>
                      <w:lang w:eastAsia="lt-LT"/>
                    </w:rPr>
                  </w:pPr>
                  <w:r w:rsidRPr="005C2884">
                    <w:rPr>
                      <w:rFonts w:cs="Arial"/>
                      <w:b/>
                      <w:bCs/>
                      <w:color w:val="FFFFFF"/>
                      <w:sz w:val="18"/>
                      <w:szCs w:val="18"/>
                    </w:rPr>
                    <w:t>Apdr. Objekts</w:t>
                  </w:r>
                </w:p>
              </w:tc>
              <w:tc>
                <w:tcPr>
                  <w:tcW w:w="1984" w:type="dxa"/>
                  <w:tcBorders>
                    <w:top w:val="single" w:sz="2" w:space="0" w:color="FF9999"/>
                    <w:left w:val="single" w:sz="2" w:space="0" w:color="FF9999"/>
                    <w:bottom w:val="single" w:sz="2" w:space="0" w:color="FF9999"/>
                    <w:right w:val="single" w:sz="2" w:space="0" w:color="FF9999"/>
                  </w:tcBorders>
                  <w:shd w:val="clear" w:color="auto" w:fill="FF6C6C"/>
                  <w:hideMark/>
                </w:tcPr>
                <w:p w14:paraId="3E3509A1" w14:textId="77777777" w:rsidR="00241BD9" w:rsidRPr="005C2884" w:rsidRDefault="00241BD9" w:rsidP="00F712FC">
                  <w:pPr>
                    <w:rPr>
                      <w:rFonts w:cs="Arial"/>
                      <w:b/>
                      <w:bCs/>
                      <w:color w:val="FFFFFF"/>
                      <w:sz w:val="18"/>
                      <w:szCs w:val="18"/>
                    </w:rPr>
                  </w:pPr>
                  <w:r w:rsidRPr="005C2884">
                    <w:rPr>
                      <w:rFonts w:cs="Arial"/>
                      <w:b/>
                      <w:bCs/>
                      <w:color w:val="FFFFFF"/>
                      <w:sz w:val="18"/>
                      <w:szCs w:val="18"/>
                    </w:rPr>
                    <w:t>Apdr. Vērtība</w:t>
                  </w:r>
                </w:p>
              </w:tc>
              <w:tc>
                <w:tcPr>
                  <w:tcW w:w="1701" w:type="dxa"/>
                  <w:tcBorders>
                    <w:top w:val="single" w:sz="2" w:space="0" w:color="FF9999"/>
                    <w:left w:val="single" w:sz="2" w:space="0" w:color="FF9999"/>
                    <w:bottom w:val="single" w:sz="2" w:space="0" w:color="FF9999"/>
                    <w:right w:val="nil"/>
                  </w:tcBorders>
                  <w:shd w:val="clear" w:color="auto" w:fill="FF6C6C"/>
                  <w:noWrap/>
                  <w:hideMark/>
                </w:tcPr>
                <w:p w14:paraId="13BF3BB2" w14:textId="77777777" w:rsidR="00241BD9" w:rsidRPr="005C2884" w:rsidRDefault="00241BD9" w:rsidP="00F712FC">
                  <w:pPr>
                    <w:rPr>
                      <w:rFonts w:cs="Arial"/>
                      <w:b/>
                      <w:bCs/>
                      <w:color w:val="FFFFFF"/>
                      <w:sz w:val="18"/>
                      <w:szCs w:val="18"/>
                    </w:rPr>
                  </w:pPr>
                  <w:r w:rsidRPr="005C2884">
                    <w:rPr>
                      <w:rFonts w:cs="Arial"/>
                      <w:b/>
                      <w:bCs/>
                      <w:color w:val="FFFFFF"/>
                      <w:sz w:val="18"/>
                      <w:szCs w:val="18"/>
                    </w:rPr>
                    <w:t>Apdr. summa EUR</w:t>
                  </w:r>
                </w:p>
              </w:tc>
            </w:tr>
            <w:tr w:rsidR="00241BD9" w:rsidRPr="005C2884" w14:paraId="42F4047E" w14:textId="77777777" w:rsidTr="00446C21">
              <w:trPr>
                <w:trHeight w:val="211"/>
              </w:trPr>
              <w:tc>
                <w:tcPr>
                  <w:tcW w:w="3261" w:type="dxa"/>
                  <w:tcBorders>
                    <w:top w:val="single" w:sz="2" w:space="0" w:color="FF9999"/>
                    <w:left w:val="nil"/>
                    <w:bottom w:val="single" w:sz="2" w:space="0" w:color="FF9999"/>
                    <w:right w:val="single" w:sz="2" w:space="0" w:color="FF9999"/>
                  </w:tcBorders>
                  <w:noWrap/>
                  <w:hideMark/>
                </w:tcPr>
                <w:p w14:paraId="0814AA12" w14:textId="77777777" w:rsidR="00241BD9" w:rsidRPr="005C2884" w:rsidRDefault="00241BD9" w:rsidP="00F712FC">
                  <w:pPr>
                    <w:rPr>
                      <w:rFonts w:cs="Arial"/>
                      <w:sz w:val="18"/>
                      <w:szCs w:val="18"/>
                    </w:rPr>
                  </w:pPr>
                  <w:r w:rsidRPr="005C2884">
                    <w:rPr>
                      <w:rFonts w:cs="Arial"/>
                      <w:sz w:val="18"/>
                      <w:szCs w:val="18"/>
                    </w:rPr>
                    <w:t>Ēkas, būves</w:t>
                  </w:r>
                </w:p>
              </w:tc>
              <w:tc>
                <w:tcPr>
                  <w:tcW w:w="1984" w:type="dxa"/>
                  <w:tcBorders>
                    <w:top w:val="single" w:sz="2" w:space="0" w:color="FF9999"/>
                    <w:left w:val="single" w:sz="2" w:space="0" w:color="FF9999"/>
                    <w:bottom w:val="single" w:sz="2" w:space="0" w:color="FF9999"/>
                    <w:right w:val="single" w:sz="2" w:space="0" w:color="FF9999"/>
                  </w:tcBorders>
                  <w:hideMark/>
                </w:tcPr>
                <w:p w14:paraId="1BCD1B5B" w14:textId="77777777" w:rsidR="00241BD9" w:rsidRPr="005C2884" w:rsidRDefault="00241BD9" w:rsidP="00F712FC">
                  <w:pPr>
                    <w:rPr>
                      <w:rFonts w:cs="Arial"/>
                      <w:sz w:val="18"/>
                      <w:szCs w:val="18"/>
                    </w:rPr>
                  </w:pPr>
                  <w:r w:rsidRPr="005C2884">
                    <w:rPr>
                      <w:rFonts w:cs="Arial"/>
                      <w:sz w:val="18"/>
                      <w:szCs w:val="18"/>
                    </w:rPr>
                    <w:t>Atjaunošanas vērtība</w:t>
                  </w:r>
                </w:p>
              </w:tc>
              <w:tc>
                <w:tcPr>
                  <w:tcW w:w="1701" w:type="dxa"/>
                  <w:tcBorders>
                    <w:top w:val="single" w:sz="2" w:space="0" w:color="FF9999"/>
                    <w:left w:val="single" w:sz="2" w:space="0" w:color="FF9999"/>
                    <w:bottom w:val="single" w:sz="2" w:space="0" w:color="FF9999"/>
                    <w:right w:val="nil"/>
                  </w:tcBorders>
                  <w:noWrap/>
                </w:tcPr>
                <w:p w14:paraId="269F28FC" w14:textId="2FA40860" w:rsidR="00241BD9" w:rsidRPr="005C2884" w:rsidRDefault="00C2524C" w:rsidP="00F712FC">
                  <w:pPr>
                    <w:jc w:val="right"/>
                    <w:rPr>
                      <w:rFonts w:cs="Arial"/>
                      <w:sz w:val="18"/>
                      <w:szCs w:val="18"/>
                    </w:rPr>
                  </w:pPr>
                  <w:r>
                    <w:rPr>
                      <w:rFonts w:cs="Arial"/>
                      <w:sz w:val="18"/>
                      <w:szCs w:val="18"/>
                    </w:rPr>
                    <w:t xml:space="preserve">88 608 413 </w:t>
                  </w:r>
                </w:p>
              </w:tc>
            </w:tr>
            <w:tr w:rsidR="00241BD9" w:rsidRPr="005C2884" w14:paraId="4CC05688" w14:textId="77777777" w:rsidTr="004A0C22">
              <w:trPr>
                <w:trHeight w:val="135"/>
              </w:trPr>
              <w:tc>
                <w:tcPr>
                  <w:tcW w:w="3261" w:type="dxa"/>
                  <w:tcBorders>
                    <w:top w:val="single" w:sz="2" w:space="0" w:color="FF9999"/>
                    <w:left w:val="nil"/>
                    <w:bottom w:val="single" w:sz="2" w:space="0" w:color="FF9999"/>
                    <w:right w:val="single" w:sz="2" w:space="0" w:color="FF9999"/>
                  </w:tcBorders>
                  <w:noWrap/>
                  <w:hideMark/>
                </w:tcPr>
                <w:p w14:paraId="265D316A" w14:textId="77777777" w:rsidR="00241BD9" w:rsidRPr="005C2884" w:rsidRDefault="00241BD9" w:rsidP="00F712FC">
                  <w:pPr>
                    <w:rPr>
                      <w:rFonts w:cs="Arial"/>
                      <w:sz w:val="18"/>
                      <w:szCs w:val="18"/>
                    </w:rPr>
                  </w:pPr>
                  <w:r w:rsidRPr="005C2884">
                    <w:rPr>
                      <w:rFonts w:cs="Arial"/>
                      <w:sz w:val="18"/>
                      <w:szCs w:val="18"/>
                    </w:rPr>
                    <w:t xml:space="preserve">Iekārtas </w:t>
                  </w:r>
                </w:p>
              </w:tc>
              <w:tc>
                <w:tcPr>
                  <w:tcW w:w="1984" w:type="dxa"/>
                  <w:tcBorders>
                    <w:top w:val="single" w:sz="2" w:space="0" w:color="FF9999"/>
                    <w:left w:val="single" w:sz="2" w:space="0" w:color="FF9999"/>
                    <w:bottom w:val="single" w:sz="2" w:space="0" w:color="FF9999"/>
                    <w:right w:val="single" w:sz="2" w:space="0" w:color="FF9999"/>
                  </w:tcBorders>
                  <w:hideMark/>
                </w:tcPr>
                <w:p w14:paraId="603D689A" w14:textId="77777777" w:rsidR="00241BD9" w:rsidRPr="005C2884" w:rsidRDefault="00241BD9" w:rsidP="00F712FC">
                  <w:pPr>
                    <w:rPr>
                      <w:rFonts w:cs="Arial"/>
                      <w:sz w:val="18"/>
                      <w:szCs w:val="18"/>
                    </w:rPr>
                  </w:pPr>
                  <w:r w:rsidRPr="005C2884">
                    <w:rPr>
                      <w:rFonts w:cs="Arial"/>
                      <w:sz w:val="18"/>
                      <w:szCs w:val="18"/>
                    </w:rPr>
                    <w:t>Atjaunošanas vērtība</w:t>
                  </w:r>
                </w:p>
              </w:tc>
              <w:tc>
                <w:tcPr>
                  <w:tcW w:w="1701" w:type="dxa"/>
                  <w:tcBorders>
                    <w:top w:val="single" w:sz="2" w:space="0" w:color="FF9999"/>
                    <w:left w:val="single" w:sz="2" w:space="0" w:color="FF9999"/>
                    <w:bottom w:val="single" w:sz="2" w:space="0" w:color="FF9999"/>
                    <w:right w:val="nil"/>
                  </w:tcBorders>
                  <w:noWrap/>
                </w:tcPr>
                <w:p w14:paraId="2EE2C585" w14:textId="4E984C22" w:rsidR="00241BD9" w:rsidRPr="005C2884" w:rsidRDefault="006F4DFC" w:rsidP="00F712FC">
                  <w:pPr>
                    <w:jc w:val="right"/>
                    <w:rPr>
                      <w:rFonts w:cs="Arial"/>
                      <w:sz w:val="18"/>
                      <w:szCs w:val="18"/>
                      <w:highlight w:val="yellow"/>
                    </w:rPr>
                  </w:pPr>
                  <w:r w:rsidRPr="006F4DFC">
                    <w:rPr>
                      <w:rFonts w:cs="Arial"/>
                      <w:sz w:val="18"/>
                      <w:szCs w:val="18"/>
                    </w:rPr>
                    <w:t>40 689 008</w:t>
                  </w:r>
                </w:p>
              </w:tc>
            </w:tr>
            <w:tr w:rsidR="00241BD9" w:rsidRPr="005C2884" w14:paraId="3E3EBE71" w14:textId="77777777" w:rsidTr="004A0C22">
              <w:trPr>
                <w:trHeight w:val="195"/>
              </w:trPr>
              <w:tc>
                <w:tcPr>
                  <w:tcW w:w="3261" w:type="dxa"/>
                  <w:tcBorders>
                    <w:top w:val="single" w:sz="2" w:space="0" w:color="FF9999"/>
                    <w:left w:val="nil"/>
                    <w:bottom w:val="single" w:sz="2" w:space="0" w:color="FF9999"/>
                    <w:right w:val="single" w:sz="2" w:space="0" w:color="FF9999"/>
                  </w:tcBorders>
                  <w:noWrap/>
                  <w:hideMark/>
                </w:tcPr>
                <w:p w14:paraId="09C489BC" w14:textId="77777777" w:rsidR="00241BD9" w:rsidRPr="005C2884" w:rsidRDefault="00241BD9" w:rsidP="00F712FC">
                  <w:pPr>
                    <w:rPr>
                      <w:rFonts w:cs="Arial"/>
                      <w:sz w:val="18"/>
                      <w:szCs w:val="18"/>
                    </w:rPr>
                  </w:pPr>
                  <w:r w:rsidRPr="005C2884">
                    <w:rPr>
                      <w:rFonts w:cs="Arial"/>
                      <w:sz w:val="18"/>
                      <w:szCs w:val="18"/>
                    </w:rPr>
                    <w:t>Pārējie pamatlīdzekļi</w:t>
                  </w:r>
                </w:p>
              </w:tc>
              <w:tc>
                <w:tcPr>
                  <w:tcW w:w="1984" w:type="dxa"/>
                  <w:tcBorders>
                    <w:top w:val="single" w:sz="2" w:space="0" w:color="FF9999"/>
                    <w:left w:val="single" w:sz="2" w:space="0" w:color="FF9999"/>
                    <w:bottom w:val="single" w:sz="2" w:space="0" w:color="FF9999"/>
                    <w:right w:val="single" w:sz="2" w:space="0" w:color="FF9999"/>
                  </w:tcBorders>
                  <w:hideMark/>
                </w:tcPr>
                <w:p w14:paraId="53E49B1B" w14:textId="77777777" w:rsidR="00241BD9" w:rsidRPr="005C2884" w:rsidRDefault="00241BD9" w:rsidP="00F712FC">
                  <w:pPr>
                    <w:rPr>
                      <w:rFonts w:cs="Arial"/>
                      <w:sz w:val="18"/>
                      <w:szCs w:val="18"/>
                    </w:rPr>
                  </w:pPr>
                  <w:r w:rsidRPr="005C2884">
                    <w:rPr>
                      <w:rFonts w:cs="Arial"/>
                      <w:sz w:val="18"/>
                      <w:szCs w:val="18"/>
                    </w:rPr>
                    <w:t xml:space="preserve">Atjaunošanas vērtība </w:t>
                  </w:r>
                </w:p>
              </w:tc>
              <w:tc>
                <w:tcPr>
                  <w:tcW w:w="1701" w:type="dxa"/>
                  <w:tcBorders>
                    <w:top w:val="single" w:sz="2" w:space="0" w:color="FF9999"/>
                    <w:left w:val="single" w:sz="2" w:space="0" w:color="FF9999"/>
                    <w:bottom w:val="single" w:sz="2" w:space="0" w:color="FF9999"/>
                    <w:right w:val="nil"/>
                  </w:tcBorders>
                  <w:noWrap/>
                </w:tcPr>
                <w:p w14:paraId="041F424A" w14:textId="1F60B063" w:rsidR="00241BD9" w:rsidRPr="005C2884" w:rsidRDefault="007623A5" w:rsidP="00F712FC">
                  <w:pPr>
                    <w:jc w:val="right"/>
                    <w:rPr>
                      <w:rFonts w:cs="Arial"/>
                      <w:sz w:val="18"/>
                      <w:szCs w:val="18"/>
                      <w:highlight w:val="yellow"/>
                    </w:rPr>
                  </w:pPr>
                  <w:r>
                    <w:rPr>
                      <w:rFonts w:cs="Arial"/>
                      <w:sz w:val="18"/>
                      <w:szCs w:val="18"/>
                    </w:rPr>
                    <w:t>177 677 054</w:t>
                  </w:r>
                </w:p>
              </w:tc>
            </w:tr>
            <w:tr w:rsidR="00241BD9" w:rsidRPr="005C2884" w14:paraId="00712BA9" w14:textId="77777777" w:rsidTr="004A0C22">
              <w:trPr>
                <w:trHeight w:val="75"/>
              </w:trPr>
              <w:tc>
                <w:tcPr>
                  <w:tcW w:w="3261" w:type="dxa"/>
                  <w:tcBorders>
                    <w:top w:val="single" w:sz="2" w:space="0" w:color="FF9999"/>
                    <w:left w:val="nil"/>
                    <w:bottom w:val="single" w:sz="2" w:space="0" w:color="FF9999"/>
                    <w:right w:val="single" w:sz="2" w:space="0" w:color="FF9999"/>
                  </w:tcBorders>
                  <w:noWrap/>
                  <w:hideMark/>
                </w:tcPr>
                <w:p w14:paraId="081CB950" w14:textId="77777777" w:rsidR="00241BD9" w:rsidRPr="005C2884" w:rsidRDefault="00241BD9" w:rsidP="00F712FC">
                  <w:pPr>
                    <w:rPr>
                      <w:rFonts w:cs="Arial"/>
                      <w:sz w:val="18"/>
                      <w:szCs w:val="18"/>
                    </w:rPr>
                  </w:pPr>
                  <w:r w:rsidRPr="005C2884">
                    <w:rPr>
                      <w:rFonts w:cs="Arial"/>
                      <w:sz w:val="18"/>
                      <w:szCs w:val="18"/>
                    </w:rPr>
                    <w:t>Krājumi</w:t>
                  </w:r>
                </w:p>
              </w:tc>
              <w:tc>
                <w:tcPr>
                  <w:tcW w:w="1984" w:type="dxa"/>
                  <w:tcBorders>
                    <w:top w:val="single" w:sz="2" w:space="0" w:color="FF9999"/>
                    <w:left w:val="single" w:sz="2" w:space="0" w:color="FF9999"/>
                    <w:bottom w:val="single" w:sz="2" w:space="0" w:color="FF9999"/>
                    <w:right w:val="single" w:sz="2" w:space="0" w:color="FF9999"/>
                  </w:tcBorders>
                  <w:hideMark/>
                </w:tcPr>
                <w:p w14:paraId="50FDF7BF" w14:textId="77777777" w:rsidR="00241BD9" w:rsidRPr="005C2884" w:rsidRDefault="00241BD9" w:rsidP="00F712FC">
                  <w:pPr>
                    <w:rPr>
                      <w:rFonts w:cs="Arial"/>
                      <w:sz w:val="18"/>
                      <w:szCs w:val="18"/>
                    </w:rPr>
                  </w:pPr>
                  <w:r w:rsidRPr="005C2884">
                    <w:rPr>
                      <w:rFonts w:cs="Arial"/>
                      <w:sz w:val="18"/>
                      <w:szCs w:val="18"/>
                    </w:rPr>
                    <w:t>Atjaunošanas vērtība</w:t>
                  </w:r>
                </w:p>
              </w:tc>
              <w:tc>
                <w:tcPr>
                  <w:tcW w:w="1701" w:type="dxa"/>
                  <w:tcBorders>
                    <w:top w:val="single" w:sz="2" w:space="0" w:color="FF9999"/>
                    <w:left w:val="single" w:sz="2" w:space="0" w:color="FF9999"/>
                    <w:bottom w:val="single" w:sz="2" w:space="0" w:color="FF9999"/>
                    <w:right w:val="nil"/>
                  </w:tcBorders>
                  <w:noWrap/>
                  <w:hideMark/>
                </w:tcPr>
                <w:p w14:paraId="3A163161" w14:textId="00F6C1FE" w:rsidR="00241BD9" w:rsidRPr="005C2884" w:rsidRDefault="007623A5" w:rsidP="00F712FC">
                  <w:pPr>
                    <w:jc w:val="right"/>
                    <w:rPr>
                      <w:rFonts w:cs="Arial"/>
                      <w:sz w:val="18"/>
                      <w:szCs w:val="18"/>
                      <w:highlight w:val="yellow"/>
                    </w:rPr>
                  </w:pPr>
                  <w:r>
                    <w:rPr>
                      <w:rFonts w:cs="Arial"/>
                      <w:sz w:val="18"/>
                      <w:szCs w:val="18"/>
                    </w:rPr>
                    <w:t>10</w:t>
                  </w:r>
                  <w:r w:rsidR="008B3941">
                    <w:rPr>
                      <w:rFonts w:cs="Arial"/>
                      <w:sz w:val="18"/>
                      <w:szCs w:val="18"/>
                    </w:rPr>
                    <w:t> </w:t>
                  </w:r>
                  <w:r>
                    <w:rPr>
                      <w:rFonts w:cs="Arial"/>
                      <w:sz w:val="18"/>
                      <w:szCs w:val="18"/>
                    </w:rPr>
                    <w:t>400</w:t>
                  </w:r>
                  <w:r w:rsidR="008B3941">
                    <w:rPr>
                      <w:rFonts w:cs="Arial"/>
                      <w:sz w:val="18"/>
                      <w:szCs w:val="18"/>
                    </w:rPr>
                    <w:t xml:space="preserve"> 000</w:t>
                  </w:r>
                </w:p>
              </w:tc>
            </w:tr>
            <w:tr w:rsidR="00241BD9" w:rsidRPr="005C2884" w14:paraId="6E3C3467" w14:textId="77777777" w:rsidTr="004A0C22">
              <w:trPr>
                <w:trHeight w:val="121"/>
              </w:trPr>
              <w:tc>
                <w:tcPr>
                  <w:tcW w:w="3261" w:type="dxa"/>
                  <w:tcBorders>
                    <w:top w:val="single" w:sz="2" w:space="0" w:color="FF9999"/>
                    <w:left w:val="nil"/>
                    <w:bottom w:val="single" w:sz="2" w:space="0" w:color="FF9999"/>
                    <w:right w:val="single" w:sz="2" w:space="0" w:color="FF9999"/>
                  </w:tcBorders>
                  <w:noWrap/>
                  <w:hideMark/>
                </w:tcPr>
                <w:p w14:paraId="10A4A892" w14:textId="77777777" w:rsidR="00241BD9" w:rsidRPr="005C2884" w:rsidRDefault="00241BD9" w:rsidP="00F712FC">
                  <w:pPr>
                    <w:rPr>
                      <w:rFonts w:cs="Arial"/>
                      <w:sz w:val="18"/>
                      <w:szCs w:val="18"/>
                    </w:rPr>
                  </w:pPr>
                  <w:r w:rsidRPr="005C2884">
                    <w:rPr>
                      <w:rFonts w:cs="Arial"/>
                      <w:sz w:val="18"/>
                      <w:szCs w:val="18"/>
                    </w:rPr>
                    <w:t>Sabiedriskā transporta līdzekļi līdz 5 g.v</w:t>
                  </w:r>
                </w:p>
              </w:tc>
              <w:tc>
                <w:tcPr>
                  <w:tcW w:w="1984" w:type="dxa"/>
                  <w:tcBorders>
                    <w:top w:val="single" w:sz="2" w:space="0" w:color="FF9999"/>
                    <w:left w:val="single" w:sz="2" w:space="0" w:color="FF9999"/>
                    <w:bottom w:val="single" w:sz="2" w:space="0" w:color="FF9999"/>
                    <w:right w:val="single" w:sz="2" w:space="0" w:color="FF9999"/>
                  </w:tcBorders>
                  <w:hideMark/>
                </w:tcPr>
                <w:p w14:paraId="17E3A908" w14:textId="77777777" w:rsidR="00241BD9" w:rsidRPr="005C2884" w:rsidRDefault="00241BD9" w:rsidP="00F712FC">
                  <w:pPr>
                    <w:rPr>
                      <w:rFonts w:cs="Arial"/>
                      <w:sz w:val="18"/>
                      <w:szCs w:val="18"/>
                    </w:rPr>
                  </w:pPr>
                  <w:r w:rsidRPr="005C2884">
                    <w:rPr>
                      <w:rFonts w:cs="Arial"/>
                      <w:sz w:val="18"/>
                      <w:szCs w:val="18"/>
                    </w:rPr>
                    <w:t>Atjaunošanas vērtība</w:t>
                  </w:r>
                </w:p>
              </w:tc>
              <w:tc>
                <w:tcPr>
                  <w:tcW w:w="1701" w:type="dxa"/>
                  <w:tcBorders>
                    <w:top w:val="single" w:sz="2" w:space="0" w:color="FF9999"/>
                    <w:left w:val="single" w:sz="2" w:space="0" w:color="FF9999"/>
                    <w:bottom w:val="single" w:sz="2" w:space="0" w:color="FF9999"/>
                    <w:right w:val="nil"/>
                  </w:tcBorders>
                  <w:noWrap/>
                  <w:hideMark/>
                </w:tcPr>
                <w:p w14:paraId="13D85B88" w14:textId="19D86426" w:rsidR="00241BD9" w:rsidRPr="005C2884" w:rsidRDefault="008B3941" w:rsidP="00F712FC">
                  <w:pPr>
                    <w:jc w:val="right"/>
                    <w:rPr>
                      <w:rFonts w:cs="Arial"/>
                      <w:bCs/>
                      <w:iCs/>
                      <w:sz w:val="18"/>
                      <w:szCs w:val="18"/>
                    </w:rPr>
                  </w:pPr>
                  <w:r>
                    <w:rPr>
                      <w:rFonts w:cs="Arial"/>
                      <w:bCs/>
                      <w:iCs/>
                      <w:sz w:val="18"/>
                      <w:szCs w:val="18"/>
                    </w:rPr>
                    <w:t>135 462 465</w:t>
                  </w:r>
                </w:p>
              </w:tc>
            </w:tr>
            <w:tr w:rsidR="00241BD9" w:rsidRPr="005C2884" w14:paraId="4A10A80E" w14:textId="77777777" w:rsidTr="004A0C22">
              <w:trPr>
                <w:trHeight w:val="121"/>
              </w:trPr>
              <w:tc>
                <w:tcPr>
                  <w:tcW w:w="3261" w:type="dxa"/>
                  <w:tcBorders>
                    <w:top w:val="single" w:sz="2" w:space="0" w:color="FF9999"/>
                    <w:left w:val="nil"/>
                    <w:bottom w:val="single" w:sz="2" w:space="0" w:color="FF9999"/>
                    <w:right w:val="single" w:sz="2" w:space="0" w:color="FF9999"/>
                  </w:tcBorders>
                  <w:noWrap/>
                </w:tcPr>
                <w:p w14:paraId="16B33A43" w14:textId="77777777" w:rsidR="00241BD9" w:rsidRPr="005C2884" w:rsidRDefault="00241BD9" w:rsidP="00F712FC">
                  <w:pPr>
                    <w:rPr>
                      <w:rFonts w:cs="Arial"/>
                      <w:sz w:val="18"/>
                      <w:szCs w:val="18"/>
                    </w:rPr>
                  </w:pPr>
                  <w:r w:rsidRPr="005C2884">
                    <w:rPr>
                      <w:rFonts w:cs="Arial"/>
                      <w:sz w:val="18"/>
                      <w:szCs w:val="18"/>
                    </w:rPr>
                    <w:t>Sabiedriskā transporta līdzekļi virs 5 +</w:t>
                  </w:r>
                </w:p>
              </w:tc>
              <w:tc>
                <w:tcPr>
                  <w:tcW w:w="1984" w:type="dxa"/>
                  <w:tcBorders>
                    <w:top w:val="single" w:sz="2" w:space="0" w:color="FF9999"/>
                    <w:left w:val="single" w:sz="2" w:space="0" w:color="FF9999"/>
                    <w:bottom w:val="single" w:sz="2" w:space="0" w:color="FF9999"/>
                    <w:right w:val="single" w:sz="2" w:space="0" w:color="FF9999"/>
                  </w:tcBorders>
                </w:tcPr>
                <w:p w14:paraId="74CEC852" w14:textId="77777777" w:rsidR="00241BD9" w:rsidRPr="005C2884" w:rsidRDefault="00241BD9" w:rsidP="00F712FC">
                  <w:pPr>
                    <w:rPr>
                      <w:rFonts w:cs="Arial"/>
                      <w:sz w:val="18"/>
                      <w:szCs w:val="18"/>
                    </w:rPr>
                  </w:pPr>
                  <w:r w:rsidRPr="005C2884">
                    <w:rPr>
                      <w:rFonts w:cs="Arial"/>
                      <w:sz w:val="18"/>
                      <w:szCs w:val="18"/>
                    </w:rPr>
                    <w:t>Faktiskā vērtība</w:t>
                  </w:r>
                </w:p>
              </w:tc>
              <w:tc>
                <w:tcPr>
                  <w:tcW w:w="1701" w:type="dxa"/>
                  <w:tcBorders>
                    <w:top w:val="single" w:sz="2" w:space="0" w:color="FF9999"/>
                    <w:left w:val="single" w:sz="2" w:space="0" w:color="FF9999"/>
                    <w:bottom w:val="single" w:sz="2" w:space="0" w:color="FF9999"/>
                    <w:right w:val="nil"/>
                  </w:tcBorders>
                  <w:noWrap/>
                </w:tcPr>
                <w:p w14:paraId="3BE7E388" w14:textId="273CCA70" w:rsidR="00241BD9" w:rsidRPr="005C2884" w:rsidRDefault="008B3941" w:rsidP="00F712FC">
                  <w:pPr>
                    <w:jc w:val="right"/>
                    <w:rPr>
                      <w:rFonts w:cs="Arial"/>
                      <w:bCs/>
                      <w:iCs/>
                      <w:sz w:val="18"/>
                      <w:szCs w:val="18"/>
                      <w:highlight w:val="yellow"/>
                    </w:rPr>
                  </w:pPr>
                  <w:r w:rsidRPr="00F718DC">
                    <w:rPr>
                      <w:rFonts w:cs="Arial"/>
                      <w:bCs/>
                      <w:iCs/>
                      <w:sz w:val="18"/>
                      <w:szCs w:val="18"/>
                    </w:rPr>
                    <w:t>69</w:t>
                  </w:r>
                  <w:r w:rsidR="00F718DC" w:rsidRPr="00F718DC">
                    <w:rPr>
                      <w:rFonts w:cs="Arial"/>
                      <w:bCs/>
                      <w:iCs/>
                      <w:sz w:val="18"/>
                      <w:szCs w:val="18"/>
                    </w:rPr>
                    <w:t> </w:t>
                  </w:r>
                  <w:r w:rsidRPr="00F718DC">
                    <w:rPr>
                      <w:rFonts w:cs="Arial"/>
                      <w:bCs/>
                      <w:iCs/>
                      <w:sz w:val="18"/>
                      <w:szCs w:val="18"/>
                    </w:rPr>
                    <w:t>044</w:t>
                  </w:r>
                  <w:r w:rsidR="00F718DC" w:rsidRPr="00F718DC">
                    <w:rPr>
                      <w:rFonts w:cs="Arial"/>
                      <w:bCs/>
                      <w:iCs/>
                      <w:sz w:val="18"/>
                      <w:szCs w:val="18"/>
                    </w:rPr>
                    <w:t xml:space="preserve"> 822</w:t>
                  </w:r>
                </w:p>
              </w:tc>
            </w:tr>
            <w:tr w:rsidR="00241BD9" w:rsidRPr="005C2884" w14:paraId="199DA2E5" w14:textId="77777777" w:rsidTr="004A0C22">
              <w:trPr>
                <w:trHeight w:val="121"/>
              </w:trPr>
              <w:tc>
                <w:tcPr>
                  <w:tcW w:w="3261" w:type="dxa"/>
                  <w:tcBorders>
                    <w:top w:val="single" w:sz="2" w:space="0" w:color="FF9999"/>
                    <w:left w:val="nil"/>
                    <w:bottom w:val="single" w:sz="2" w:space="0" w:color="FF9999"/>
                    <w:right w:val="single" w:sz="2" w:space="0" w:color="FF9999"/>
                  </w:tcBorders>
                  <w:noWrap/>
                  <w:vAlign w:val="center"/>
                </w:tcPr>
                <w:p w14:paraId="7C0BFE25" w14:textId="77777777" w:rsidR="00241BD9" w:rsidRPr="005C2884" w:rsidRDefault="00241BD9" w:rsidP="00F712FC">
                  <w:pPr>
                    <w:rPr>
                      <w:rFonts w:cs="Arial"/>
                      <w:sz w:val="18"/>
                      <w:szCs w:val="18"/>
                    </w:rPr>
                  </w:pPr>
                  <w:r w:rsidRPr="006B1EC2">
                    <w:rPr>
                      <w:rFonts w:cs="Arial"/>
                      <w:sz w:val="18"/>
                      <w:szCs w:val="18"/>
                    </w:rPr>
                    <w:t>Sabiedriskā transporta līdzekļi virs 5 ++</w:t>
                  </w:r>
                </w:p>
              </w:tc>
              <w:tc>
                <w:tcPr>
                  <w:tcW w:w="1984" w:type="dxa"/>
                  <w:tcBorders>
                    <w:top w:val="single" w:sz="2" w:space="0" w:color="FF9999"/>
                    <w:left w:val="single" w:sz="2" w:space="0" w:color="FF9999"/>
                    <w:bottom w:val="single" w:sz="2" w:space="0" w:color="FF9999"/>
                    <w:right w:val="single" w:sz="2" w:space="0" w:color="FF9999"/>
                  </w:tcBorders>
                  <w:vAlign w:val="center"/>
                </w:tcPr>
                <w:p w14:paraId="7321C235" w14:textId="77777777" w:rsidR="00241BD9" w:rsidRPr="005C2884" w:rsidRDefault="00241BD9" w:rsidP="00F712FC">
                  <w:pPr>
                    <w:rPr>
                      <w:rFonts w:cs="Arial"/>
                      <w:sz w:val="18"/>
                      <w:szCs w:val="18"/>
                    </w:rPr>
                  </w:pPr>
                  <w:r>
                    <w:rPr>
                      <w:rFonts w:cs="Arial"/>
                      <w:sz w:val="18"/>
                      <w:szCs w:val="18"/>
                    </w:rPr>
                    <w:t>Pieņemtā vērtība (agreed value)</w:t>
                  </w:r>
                </w:p>
              </w:tc>
              <w:tc>
                <w:tcPr>
                  <w:tcW w:w="1701" w:type="dxa"/>
                  <w:tcBorders>
                    <w:top w:val="single" w:sz="2" w:space="0" w:color="FF9999"/>
                    <w:left w:val="single" w:sz="2" w:space="0" w:color="FF9999"/>
                    <w:bottom w:val="single" w:sz="2" w:space="0" w:color="FF9999"/>
                    <w:right w:val="nil"/>
                  </w:tcBorders>
                  <w:noWrap/>
                  <w:vAlign w:val="center"/>
                </w:tcPr>
                <w:p w14:paraId="71245354" w14:textId="309801CF" w:rsidR="00241BD9" w:rsidRPr="005C2884" w:rsidRDefault="00F718DC" w:rsidP="00F712FC">
                  <w:pPr>
                    <w:jc w:val="right"/>
                    <w:rPr>
                      <w:rFonts w:cs="Arial"/>
                      <w:bCs/>
                      <w:iCs/>
                      <w:sz w:val="18"/>
                      <w:szCs w:val="18"/>
                    </w:rPr>
                  </w:pPr>
                  <w:r>
                    <w:rPr>
                      <w:rFonts w:cs="Arial"/>
                      <w:bCs/>
                      <w:iCs/>
                      <w:sz w:val="18"/>
                      <w:szCs w:val="18"/>
                    </w:rPr>
                    <w:t>977 500</w:t>
                  </w:r>
                </w:p>
              </w:tc>
            </w:tr>
            <w:tr w:rsidR="00241BD9" w:rsidRPr="005C2884" w14:paraId="12D05C06" w14:textId="77777777" w:rsidTr="004A0C22">
              <w:trPr>
                <w:trHeight w:val="75"/>
              </w:trPr>
              <w:tc>
                <w:tcPr>
                  <w:tcW w:w="3261" w:type="dxa"/>
                  <w:tcBorders>
                    <w:top w:val="single" w:sz="2" w:space="0" w:color="FF9999"/>
                    <w:left w:val="nil"/>
                    <w:bottom w:val="single" w:sz="2" w:space="0" w:color="FF9999"/>
                    <w:right w:val="single" w:sz="2" w:space="0" w:color="FF9999"/>
                  </w:tcBorders>
                  <w:noWrap/>
                  <w:hideMark/>
                </w:tcPr>
                <w:p w14:paraId="4F7EFBE3" w14:textId="77777777" w:rsidR="00241BD9" w:rsidRPr="005C2884" w:rsidRDefault="00241BD9" w:rsidP="00F712FC">
                  <w:pPr>
                    <w:rPr>
                      <w:rFonts w:cs="Arial"/>
                      <w:b/>
                      <w:bCs/>
                      <w:iCs/>
                      <w:sz w:val="18"/>
                      <w:szCs w:val="18"/>
                    </w:rPr>
                  </w:pPr>
                  <w:r w:rsidRPr="005C2884">
                    <w:rPr>
                      <w:rFonts w:cs="Arial"/>
                      <w:b/>
                      <w:bCs/>
                      <w:iCs/>
                      <w:sz w:val="18"/>
                      <w:szCs w:val="18"/>
                    </w:rPr>
                    <w:t>Kopā EUR</w:t>
                  </w:r>
                </w:p>
              </w:tc>
              <w:tc>
                <w:tcPr>
                  <w:tcW w:w="1984" w:type="dxa"/>
                  <w:tcBorders>
                    <w:top w:val="single" w:sz="2" w:space="0" w:color="FF9999"/>
                    <w:left w:val="single" w:sz="2" w:space="0" w:color="FF9999"/>
                    <w:bottom w:val="single" w:sz="2" w:space="0" w:color="FF9999"/>
                    <w:right w:val="single" w:sz="2" w:space="0" w:color="FF9999"/>
                  </w:tcBorders>
                </w:tcPr>
                <w:p w14:paraId="5592255B" w14:textId="77777777" w:rsidR="00241BD9" w:rsidRPr="005C2884" w:rsidRDefault="00241BD9" w:rsidP="00F712FC">
                  <w:pPr>
                    <w:rPr>
                      <w:rFonts w:cs="Arial"/>
                      <w:b/>
                      <w:bCs/>
                      <w:iCs/>
                      <w:sz w:val="18"/>
                      <w:szCs w:val="18"/>
                    </w:rPr>
                  </w:pPr>
                </w:p>
              </w:tc>
              <w:tc>
                <w:tcPr>
                  <w:tcW w:w="1701" w:type="dxa"/>
                  <w:tcBorders>
                    <w:top w:val="single" w:sz="2" w:space="0" w:color="FF9999"/>
                    <w:left w:val="single" w:sz="2" w:space="0" w:color="FF9999"/>
                    <w:bottom w:val="single" w:sz="2" w:space="0" w:color="FF9999"/>
                    <w:right w:val="nil"/>
                  </w:tcBorders>
                  <w:noWrap/>
                  <w:hideMark/>
                </w:tcPr>
                <w:p w14:paraId="62AFF17E" w14:textId="0EF0451C" w:rsidR="00241BD9" w:rsidRPr="005C2884" w:rsidRDefault="00F718DC" w:rsidP="00F712FC">
                  <w:pPr>
                    <w:jc w:val="right"/>
                    <w:rPr>
                      <w:rFonts w:cs="Arial"/>
                      <w:b/>
                      <w:bCs/>
                      <w:i/>
                      <w:iCs/>
                      <w:sz w:val="18"/>
                      <w:szCs w:val="18"/>
                    </w:rPr>
                  </w:pPr>
                  <w:r>
                    <w:rPr>
                      <w:rFonts w:cs="Arial"/>
                      <w:b/>
                      <w:bCs/>
                      <w:i/>
                      <w:iCs/>
                      <w:sz w:val="18"/>
                      <w:szCs w:val="18"/>
                    </w:rPr>
                    <w:t>522 859 261</w:t>
                  </w:r>
                </w:p>
              </w:tc>
            </w:tr>
          </w:tbl>
          <w:p w14:paraId="7895732E" w14:textId="77777777" w:rsidR="00241BD9" w:rsidRDefault="00241BD9" w:rsidP="004A0C22">
            <w:pPr>
              <w:spacing w:after="200" w:line="276" w:lineRule="auto"/>
              <w:rPr>
                <w:rFonts w:eastAsia="Arial" w:cs="Arial"/>
                <w:b/>
                <w:sz w:val="18"/>
                <w:szCs w:val="18"/>
              </w:rPr>
            </w:pPr>
          </w:p>
          <w:p w14:paraId="1870A672" w14:textId="77777777" w:rsidR="00241BD9" w:rsidRDefault="00241BD9" w:rsidP="00F712FC">
            <w:pPr>
              <w:spacing w:after="200" w:line="276" w:lineRule="auto"/>
              <w:jc w:val="center"/>
              <w:rPr>
                <w:rFonts w:eastAsia="Arial" w:cs="Arial"/>
                <w:b/>
                <w:sz w:val="18"/>
                <w:szCs w:val="18"/>
              </w:rPr>
            </w:pPr>
          </w:p>
          <w:p w14:paraId="34AE2B45"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Obligātās minimālās prasības.</w:t>
            </w:r>
          </w:p>
        </w:tc>
        <w:tc>
          <w:tcPr>
            <w:tcW w:w="119" w:type="pct"/>
          </w:tcPr>
          <w:p w14:paraId="18BED753" w14:textId="77777777" w:rsidR="00241BD9" w:rsidRPr="005C2884" w:rsidRDefault="00241BD9" w:rsidP="00F712FC">
            <w:pPr>
              <w:spacing w:after="200" w:line="276" w:lineRule="auto"/>
              <w:jc w:val="center"/>
              <w:rPr>
                <w:rFonts w:eastAsia="Arial" w:cs="Arial"/>
                <w:sz w:val="18"/>
                <w:szCs w:val="18"/>
              </w:rPr>
            </w:pPr>
          </w:p>
        </w:tc>
      </w:tr>
      <w:tr w:rsidR="00241BD9" w:rsidRPr="005C2884" w14:paraId="1DEF8E66" w14:textId="77777777" w:rsidTr="00F712FC">
        <w:tc>
          <w:tcPr>
            <w:tcW w:w="410" w:type="pct"/>
          </w:tcPr>
          <w:p w14:paraId="6E770534"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I</w:t>
            </w:r>
          </w:p>
        </w:tc>
        <w:tc>
          <w:tcPr>
            <w:tcW w:w="4471" w:type="pct"/>
          </w:tcPr>
          <w:p w14:paraId="670F8F34" w14:textId="77777777" w:rsidR="00241BD9" w:rsidRPr="005C2884" w:rsidRDefault="00241BD9" w:rsidP="00F712FC">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ĪPAŠUMA APDROŠINĀŠANA (ēkas, būves, kustamā manta, izņemot transportlīdzekļus)</w:t>
            </w:r>
          </w:p>
        </w:tc>
        <w:tc>
          <w:tcPr>
            <w:tcW w:w="119" w:type="pct"/>
          </w:tcPr>
          <w:p w14:paraId="5AF5ACB5" w14:textId="77777777" w:rsidR="00241BD9" w:rsidRPr="005C2884" w:rsidRDefault="00241BD9" w:rsidP="00F712FC">
            <w:pPr>
              <w:spacing w:after="200" w:line="276" w:lineRule="auto"/>
              <w:rPr>
                <w:rFonts w:eastAsia="Arial" w:cs="Arial"/>
                <w:b/>
                <w:i/>
                <w:sz w:val="18"/>
                <w:szCs w:val="18"/>
              </w:rPr>
            </w:pPr>
          </w:p>
        </w:tc>
      </w:tr>
      <w:tr w:rsidR="00241BD9" w:rsidRPr="005C2884" w14:paraId="3A19EEEE" w14:textId="77777777" w:rsidTr="00F712FC">
        <w:tc>
          <w:tcPr>
            <w:tcW w:w="410" w:type="pct"/>
          </w:tcPr>
          <w:p w14:paraId="0A368F16"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1.</w:t>
            </w:r>
          </w:p>
        </w:tc>
        <w:tc>
          <w:tcPr>
            <w:tcW w:w="4471" w:type="pct"/>
          </w:tcPr>
          <w:p w14:paraId="6A1C0306" w14:textId="77777777" w:rsidR="00241BD9" w:rsidRPr="005C2884" w:rsidRDefault="00241BD9" w:rsidP="00F712FC">
            <w:pPr>
              <w:spacing w:after="200" w:line="276" w:lineRule="auto"/>
              <w:rPr>
                <w:rFonts w:eastAsia="Arial" w:cs="Arial"/>
                <w:b/>
                <w:sz w:val="18"/>
                <w:szCs w:val="18"/>
              </w:rPr>
            </w:pPr>
            <w:r w:rsidRPr="005C2884">
              <w:rPr>
                <w:rFonts w:eastAsia="Arial" w:cs="Arial"/>
                <w:b/>
                <w:sz w:val="18"/>
                <w:szCs w:val="18"/>
              </w:rPr>
              <w:t>Apdrošināšanas objekts:</w:t>
            </w:r>
          </w:p>
        </w:tc>
        <w:tc>
          <w:tcPr>
            <w:tcW w:w="119" w:type="pct"/>
          </w:tcPr>
          <w:p w14:paraId="4FACFAAF" w14:textId="77777777" w:rsidR="00241BD9" w:rsidRPr="005C2884" w:rsidRDefault="00241BD9" w:rsidP="00F712FC">
            <w:pPr>
              <w:spacing w:after="200" w:line="276" w:lineRule="auto"/>
              <w:rPr>
                <w:rFonts w:eastAsia="Arial" w:cs="Arial"/>
                <w:b/>
                <w:i/>
                <w:sz w:val="18"/>
                <w:szCs w:val="18"/>
              </w:rPr>
            </w:pPr>
          </w:p>
        </w:tc>
      </w:tr>
      <w:tr w:rsidR="00241BD9" w:rsidRPr="005C2884" w14:paraId="16D1181A" w14:textId="77777777" w:rsidTr="00F712FC">
        <w:tc>
          <w:tcPr>
            <w:tcW w:w="410" w:type="pct"/>
          </w:tcPr>
          <w:p w14:paraId="0FEFF4C2"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1.1.</w:t>
            </w:r>
          </w:p>
        </w:tc>
        <w:tc>
          <w:tcPr>
            <w:tcW w:w="4471" w:type="pct"/>
          </w:tcPr>
          <w:p w14:paraId="038D7738" w14:textId="77777777" w:rsidR="00241BD9" w:rsidRPr="005C2884" w:rsidRDefault="00241BD9" w:rsidP="00F712FC">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Pasūtītāja pamatlīdzekļi atbilstoši Sarakstam Nr.1:</w:t>
            </w:r>
          </w:p>
        </w:tc>
        <w:tc>
          <w:tcPr>
            <w:tcW w:w="119" w:type="pct"/>
          </w:tcPr>
          <w:p w14:paraId="6523506B" w14:textId="77777777" w:rsidR="00241BD9" w:rsidRPr="005C2884" w:rsidRDefault="00241BD9" w:rsidP="00F712FC">
            <w:pPr>
              <w:spacing w:after="200" w:line="276" w:lineRule="auto"/>
              <w:rPr>
                <w:rFonts w:eastAsia="Arial" w:cs="Arial"/>
                <w:i/>
                <w:sz w:val="18"/>
                <w:szCs w:val="18"/>
              </w:rPr>
            </w:pPr>
          </w:p>
        </w:tc>
      </w:tr>
      <w:tr w:rsidR="00241BD9" w:rsidRPr="005C2884" w14:paraId="7FD57C69" w14:textId="77777777" w:rsidTr="00F712FC">
        <w:tc>
          <w:tcPr>
            <w:tcW w:w="410" w:type="pct"/>
          </w:tcPr>
          <w:p w14:paraId="6E966141"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1.1.1.</w:t>
            </w:r>
          </w:p>
        </w:tc>
        <w:tc>
          <w:tcPr>
            <w:tcW w:w="4471" w:type="pct"/>
          </w:tcPr>
          <w:p w14:paraId="1A1DE337"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ēkas</w:t>
            </w:r>
            <w:r w:rsidRPr="005C2884">
              <w:rPr>
                <w:rFonts w:eastAsia="Arial" w:cs="Arial"/>
                <w:sz w:val="18"/>
                <w:szCs w:val="18"/>
                <w:lang w:eastAsia="zh-CN"/>
              </w:rPr>
              <w:t xml:space="preserve"> ar visām to būvniecības laikā un papildus uzstādītajām inženiertehniskajām komunikācijām, aprīkojumu, apdari (t.sk., lifti, sakaru tīkli, signalizācija, ventilācija, gaisa kondicionēšanas un elektrosadales tīkli, karstā un aukstā ūdens apgāde, kanalizācija un apkures sistēmas ar siltummezgliem);</w:t>
            </w:r>
          </w:p>
        </w:tc>
        <w:tc>
          <w:tcPr>
            <w:tcW w:w="119" w:type="pct"/>
          </w:tcPr>
          <w:p w14:paraId="07A27E57" w14:textId="77777777" w:rsidR="00241BD9" w:rsidRPr="005C2884" w:rsidRDefault="00241BD9" w:rsidP="00F712FC">
            <w:pPr>
              <w:spacing w:after="200" w:line="276" w:lineRule="auto"/>
              <w:rPr>
                <w:rFonts w:eastAsia="Arial" w:cs="Arial"/>
                <w:i/>
                <w:sz w:val="18"/>
                <w:szCs w:val="18"/>
              </w:rPr>
            </w:pPr>
          </w:p>
        </w:tc>
      </w:tr>
      <w:tr w:rsidR="00241BD9" w:rsidRPr="005C2884" w14:paraId="6ADD4FE4" w14:textId="77777777" w:rsidTr="00F712FC">
        <w:tc>
          <w:tcPr>
            <w:tcW w:w="410" w:type="pct"/>
          </w:tcPr>
          <w:p w14:paraId="3C12B9D0"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1.1.2.</w:t>
            </w:r>
          </w:p>
        </w:tc>
        <w:tc>
          <w:tcPr>
            <w:tcW w:w="4471" w:type="pct"/>
          </w:tcPr>
          <w:p w14:paraId="356F292B"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būves</w:t>
            </w:r>
            <w:r w:rsidRPr="005C2884">
              <w:rPr>
                <w:rFonts w:eastAsia="Arial" w:cs="Arial"/>
                <w:sz w:val="18"/>
                <w:szCs w:val="18"/>
                <w:lang w:eastAsia="zh-CN"/>
              </w:rPr>
              <w:t>, tai skaitā: inženierbūves, žogi, sētas, ceļi, estakādes, pārvietojamie vagoniņi, stāvvietas, cauruļvadi u.c. objekti ar visām to būvniecības laikā un papildus uzstādītajām inženiertehniskajām komunikācijām, aprīkojumu, apdari;</w:t>
            </w:r>
          </w:p>
        </w:tc>
        <w:tc>
          <w:tcPr>
            <w:tcW w:w="119" w:type="pct"/>
          </w:tcPr>
          <w:p w14:paraId="048B30D7" w14:textId="77777777" w:rsidR="00241BD9" w:rsidRPr="005C2884" w:rsidRDefault="00241BD9" w:rsidP="00F712FC">
            <w:pPr>
              <w:spacing w:after="200" w:line="276" w:lineRule="auto"/>
              <w:rPr>
                <w:rFonts w:eastAsia="Arial" w:cs="Arial"/>
                <w:i/>
                <w:sz w:val="18"/>
                <w:szCs w:val="18"/>
              </w:rPr>
            </w:pPr>
          </w:p>
        </w:tc>
      </w:tr>
      <w:tr w:rsidR="00241BD9" w:rsidRPr="005C2884" w14:paraId="768E9C8F" w14:textId="77777777" w:rsidTr="00F712FC">
        <w:tc>
          <w:tcPr>
            <w:tcW w:w="410" w:type="pct"/>
          </w:tcPr>
          <w:p w14:paraId="474EC8FA"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1.1.3.</w:t>
            </w:r>
          </w:p>
        </w:tc>
        <w:tc>
          <w:tcPr>
            <w:tcW w:w="4471" w:type="pct"/>
          </w:tcPr>
          <w:p w14:paraId="3480EF12"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kustamā manta, aprīkojums un krājumi</w:t>
            </w:r>
            <w:r w:rsidRPr="005C2884">
              <w:rPr>
                <w:rFonts w:eastAsia="Arial" w:cs="Arial"/>
                <w:sz w:val="18"/>
                <w:szCs w:val="18"/>
                <w:lang w:eastAsia="zh-CN"/>
              </w:rPr>
              <w:t>, tai skaitā: degviela un citi pamatlīdzekļi un inventārs, kas netiks apdrošināti atbilstoši 1.1.1. un 1.1.2. punktiem.</w:t>
            </w:r>
          </w:p>
        </w:tc>
        <w:tc>
          <w:tcPr>
            <w:tcW w:w="119" w:type="pct"/>
          </w:tcPr>
          <w:p w14:paraId="51604D9F" w14:textId="77777777" w:rsidR="00241BD9" w:rsidRPr="005C2884" w:rsidRDefault="00241BD9" w:rsidP="00F712FC">
            <w:pPr>
              <w:spacing w:after="200" w:line="276" w:lineRule="auto"/>
              <w:rPr>
                <w:rFonts w:eastAsia="Arial" w:cs="Arial"/>
                <w:i/>
                <w:sz w:val="18"/>
                <w:szCs w:val="18"/>
              </w:rPr>
            </w:pPr>
          </w:p>
        </w:tc>
      </w:tr>
      <w:tr w:rsidR="00241BD9" w:rsidRPr="005C2884" w14:paraId="67E18CFA" w14:textId="77777777" w:rsidTr="00F712FC">
        <w:tc>
          <w:tcPr>
            <w:tcW w:w="410" w:type="pct"/>
          </w:tcPr>
          <w:p w14:paraId="581904F2"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1.2.</w:t>
            </w:r>
          </w:p>
        </w:tc>
        <w:tc>
          <w:tcPr>
            <w:tcW w:w="4471" w:type="pct"/>
          </w:tcPr>
          <w:p w14:paraId="52DFA070"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bookmarkStart w:id="0" w:name="_Hlk8374814"/>
            <w:r w:rsidRPr="005C2884">
              <w:rPr>
                <w:rFonts w:eastAsia="Arial" w:cs="Arial"/>
                <w:sz w:val="18"/>
                <w:szCs w:val="18"/>
                <w:lang w:eastAsia="zh-CN"/>
              </w:rPr>
              <w:t>Apdrošināšanas objektā nav iekļauta zeme, normatīvajos aktos noteiktā kārtībā reģistrācijai pakļautie transportlīdzekļi, sabiedriskā transportlīdzekļi (tramvaji, trolejbusi, autobusi), jaunie celtniecības objekti, kuru apdrošināšanu pilnībā līdz to nodošanai ekspluatācijā veic būvdarbu veicējs, ģenerāluzņēmējs vai cita trešā persona.</w:t>
            </w:r>
            <w:bookmarkEnd w:id="0"/>
          </w:p>
        </w:tc>
        <w:tc>
          <w:tcPr>
            <w:tcW w:w="119" w:type="pct"/>
          </w:tcPr>
          <w:p w14:paraId="681AD16F" w14:textId="77777777" w:rsidR="00241BD9" w:rsidRPr="005C2884" w:rsidRDefault="00241BD9" w:rsidP="00F712FC">
            <w:pPr>
              <w:suppressAutoHyphens/>
              <w:autoSpaceDE w:val="0"/>
              <w:spacing w:after="200" w:line="276" w:lineRule="auto"/>
              <w:jc w:val="both"/>
              <w:rPr>
                <w:rFonts w:eastAsia="Arial" w:cs="Arial"/>
                <w:i/>
                <w:sz w:val="18"/>
                <w:szCs w:val="18"/>
                <w:lang w:eastAsia="zh-CN"/>
              </w:rPr>
            </w:pPr>
            <w:r w:rsidRPr="005C2884">
              <w:rPr>
                <w:rFonts w:eastAsia="Arial" w:cs="Arial"/>
                <w:i/>
                <w:sz w:val="18"/>
                <w:szCs w:val="18"/>
                <w:lang w:eastAsia="zh-CN"/>
              </w:rPr>
              <w:t xml:space="preserve"> </w:t>
            </w:r>
          </w:p>
        </w:tc>
      </w:tr>
      <w:tr w:rsidR="00241BD9" w:rsidRPr="005C2884" w14:paraId="2B3D325F" w14:textId="77777777" w:rsidTr="00F712FC">
        <w:tc>
          <w:tcPr>
            <w:tcW w:w="410" w:type="pct"/>
          </w:tcPr>
          <w:p w14:paraId="52EA441C"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1.3.</w:t>
            </w:r>
          </w:p>
        </w:tc>
        <w:tc>
          <w:tcPr>
            <w:tcW w:w="4471" w:type="pct"/>
          </w:tcPr>
          <w:p w14:paraId="0043D897"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Ēkas, būves, kustamā manta, aprīkojums un krājumi tiks apdrošināti saskaņā ar apdrošināšanas objektu uzskaitījuma sarakstu.</w:t>
            </w:r>
          </w:p>
        </w:tc>
        <w:tc>
          <w:tcPr>
            <w:tcW w:w="119" w:type="pct"/>
          </w:tcPr>
          <w:p w14:paraId="45D8DA58" w14:textId="77777777" w:rsidR="00241BD9" w:rsidRPr="005C2884" w:rsidRDefault="00241BD9" w:rsidP="00F712FC">
            <w:pPr>
              <w:spacing w:after="200" w:line="276" w:lineRule="auto"/>
              <w:rPr>
                <w:rFonts w:eastAsia="Arial" w:cs="Arial"/>
                <w:i/>
                <w:sz w:val="18"/>
                <w:szCs w:val="18"/>
              </w:rPr>
            </w:pPr>
          </w:p>
        </w:tc>
      </w:tr>
      <w:tr w:rsidR="00241BD9" w:rsidRPr="005C2884" w14:paraId="0FD49223" w14:textId="77777777" w:rsidTr="00F712FC">
        <w:tc>
          <w:tcPr>
            <w:tcW w:w="410" w:type="pct"/>
          </w:tcPr>
          <w:p w14:paraId="65C2248D"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1.4.</w:t>
            </w:r>
          </w:p>
        </w:tc>
        <w:tc>
          <w:tcPr>
            <w:tcW w:w="4471" w:type="pct"/>
          </w:tcPr>
          <w:p w14:paraId="64011E58"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Attiecībā uz </w:t>
            </w:r>
            <w:r w:rsidRPr="005C2884">
              <w:rPr>
                <w:rFonts w:eastAsia="Arial" w:cs="Arial"/>
                <w:b/>
                <w:i/>
                <w:sz w:val="18"/>
                <w:szCs w:val="18"/>
                <w:lang w:eastAsia="zh-CN"/>
              </w:rPr>
              <w:t>ēkām un būvēm</w:t>
            </w:r>
            <w:r w:rsidRPr="005C2884">
              <w:rPr>
                <w:rFonts w:eastAsia="Arial" w:cs="Arial"/>
                <w:sz w:val="18"/>
                <w:szCs w:val="18"/>
                <w:lang w:eastAsia="zh-CN"/>
              </w:rPr>
              <w:t xml:space="preserve"> apdrošināšanas segums bez apakšlimitu piemērošanas tiks nodrošināts:</w:t>
            </w:r>
          </w:p>
        </w:tc>
        <w:tc>
          <w:tcPr>
            <w:tcW w:w="119" w:type="pct"/>
          </w:tcPr>
          <w:p w14:paraId="19F6101B" w14:textId="77777777" w:rsidR="00241BD9" w:rsidRPr="005C2884" w:rsidRDefault="00241BD9" w:rsidP="00F712FC">
            <w:pPr>
              <w:spacing w:after="200" w:line="276" w:lineRule="auto"/>
              <w:rPr>
                <w:rFonts w:eastAsia="Arial" w:cs="Arial"/>
                <w:i/>
                <w:sz w:val="18"/>
                <w:szCs w:val="18"/>
              </w:rPr>
            </w:pPr>
          </w:p>
        </w:tc>
      </w:tr>
      <w:tr w:rsidR="00241BD9" w:rsidRPr="005C2884" w14:paraId="7403A051" w14:textId="77777777" w:rsidTr="00F712FC">
        <w:tc>
          <w:tcPr>
            <w:tcW w:w="410" w:type="pct"/>
          </w:tcPr>
          <w:p w14:paraId="68F6F046"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sz w:val="18"/>
                <w:szCs w:val="18"/>
              </w:rPr>
              <w:t>1.4.1.</w:t>
            </w:r>
          </w:p>
        </w:tc>
        <w:tc>
          <w:tcPr>
            <w:tcW w:w="4471" w:type="pct"/>
          </w:tcPr>
          <w:p w14:paraId="646CAA09"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labiekārtojuma konstrukcijām</w:t>
            </w:r>
            <w:r w:rsidRPr="005C2884">
              <w:rPr>
                <w:rFonts w:eastAsia="Arial" w:cs="Arial"/>
                <w:sz w:val="18"/>
                <w:szCs w:val="18"/>
                <w:lang w:eastAsia="zh-CN"/>
              </w:rPr>
              <w:t xml:space="preserve"> - būvēm, kas ir pastāvīgi saistītas ar zemes gabalu, uz kura atrodas apdrošinātais nekustamais īpašums, kas ietverts apdrošināto objektu sarakstā (piemēram, barjeras, sienas, žogi, nojumes, estakādes, pievedceli un gājēju ceļi, stacionārās laistīšanas sistēmas, ārējais apgaismojums, karoga masti, reklāmas stendi u.c.);</w:t>
            </w:r>
          </w:p>
        </w:tc>
        <w:tc>
          <w:tcPr>
            <w:tcW w:w="119" w:type="pct"/>
          </w:tcPr>
          <w:p w14:paraId="37C3F7BB" w14:textId="77777777" w:rsidR="00241BD9" w:rsidRPr="005C2884" w:rsidRDefault="00241BD9" w:rsidP="00F712FC">
            <w:pPr>
              <w:spacing w:after="200" w:line="276" w:lineRule="auto"/>
              <w:rPr>
                <w:rFonts w:eastAsia="Arial" w:cs="Arial"/>
                <w:b/>
                <w:i/>
                <w:sz w:val="18"/>
                <w:szCs w:val="18"/>
              </w:rPr>
            </w:pPr>
          </w:p>
        </w:tc>
      </w:tr>
      <w:tr w:rsidR="00241BD9" w:rsidRPr="005C2884" w14:paraId="00C995A8" w14:textId="77777777" w:rsidTr="00F712FC">
        <w:tc>
          <w:tcPr>
            <w:tcW w:w="410" w:type="pct"/>
          </w:tcPr>
          <w:p w14:paraId="4A2A2608"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1.4.2.</w:t>
            </w:r>
          </w:p>
        </w:tc>
        <w:tc>
          <w:tcPr>
            <w:tcW w:w="4471" w:type="pct"/>
          </w:tcPr>
          <w:p w14:paraId="4E01DC3E"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apdrošināšanas objekta </w:t>
            </w:r>
            <w:r w:rsidRPr="005C2884">
              <w:rPr>
                <w:rFonts w:eastAsia="Arial" w:cs="Arial"/>
                <w:b/>
                <w:i/>
                <w:sz w:val="18"/>
                <w:szCs w:val="18"/>
                <w:lang w:eastAsia="zh-CN"/>
              </w:rPr>
              <w:t>ārējām sienām un jumtiem piestiprinātajiem priekšmetiem</w:t>
            </w:r>
            <w:r w:rsidRPr="005C2884">
              <w:rPr>
                <w:rFonts w:eastAsia="Arial" w:cs="Arial"/>
                <w:sz w:val="18"/>
                <w:szCs w:val="18"/>
                <w:lang w:eastAsia="zh-CN"/>
              </w:rPr>
              <w:t xml:space="preserve">, kuri nav obligāti nepieciešami apdrošināšanas objekta lietošanai, vai kuru uzstādīšana </w:t>
            </w:r>
            <w:r w:rsidRPr="005C2884">
              <w:rPr>
                <w:rFonts w:eastAsia="Arial" w:cs="Arial"/>
                <w:sz w:val="18"/>
                <w:szCs w:val="18"/>
                <w:lang w:eastAsia="zh-CN"/>
              </w:rPr>
              <w:lastRenderedPageBreak/>
              <w:t>nebija paredzēta apdrošināšanas objekta būvprojektā, tas ir, tādiem priekšmetiem, kuri ir uzstādīti apdrošināšanas objekta lietošanas laikā (piemēram, logu pārsegi, satelīta antenas, tehniskās apsardzes, video novērošanas sistēmas, saules baterijas u.c.);</w:t>
            </w:r>
          </w:p>
        </w:tc>
        <w:tc>
          <w:tcPr>
            <w:tcW w:w="119" w:type="pct"/>
          </w:tcPr>
          <w:p w14:paraId="386B2079" w14:textId="77777777" w:rsidR="00241BD9" w:rsidRPr="005C2884" w:rsidRDefault="00241BD9" w:rsidP="00F712FC">
            <w:pPr>
              <w:spacing w:after="200" w:line="276" w:lineRule="auto"/>
              <w:rPr>
                <w:rFonts w:eastAsia="Arial" w:cs="Arial"/>
                <w:i/>
                <w:sz w:val="18"/>
                <w:szCs w:val="18"/>
              </w:rPr>
            </w:pPr>
          </w:p>
        </w:tc>
      </w:tr>
      <w:tr w:rsidR="00241BD9" w:rsidRPr="005C2884" w14:paraId="444E6433" w14:textId="77777777" w:rsidTr="00F712FC">
        <w:tc>
          <w:tcPr>
            <w:tcW w:w="410" w:type="pct"/>
          </w:tcPr>
          <w:p w14:paraId="507EFD63"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1.4.3.</w:t>
            </w:r>
          </w:p>
        </w:tc>
        <w:tc>
          <w:tcPr>
            <w:tcW w:w="4471" w:type="pct"/>
          </w:tcPr>
          <w:p w14:paraId="32CB9103"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i/>
                <w:sz w:val="18"/>
                <w:szCs w:val="18"/>
                <w:lang w:eastAsia="zh-CN"/>
              </w:rPr>
              <w:t>inženiertīklu pievadiem</w:t>
            </w:r>
            <w:r w:rsidRPr="005C2884">
              <w:rPr>
                <w:rFonts w:eastAsia="Arial" w:cs="Arial"/>
                <w:sz w:val="18"/>
                <w:szCs w:val="18"/>
                <w:lang w:eastAsia="zh-CN"/>
              </w:rPr>
              <w:t>, kas atzarojas no apdrošinātā nekustamā īpašuma līdz komunikāciju turētāju pieslēgumam (piemēram, cauruļvadiem, kabeļiem u.c.).</w:t>
            </w:r>
          </w:p>
        </w:tc>
        <w:tc>
          <w:tcPr>
            <w:tcW w:w="119" w:type="pct"/>
          </w:tcPr>
          <w:p w14:paraId="4687016C" w14:textId="77777777" w:rsidR="00241BD9" w:rsidRPr="005C2884" w:rsidRDefault="00241BD9" w:rsidP="00F712FC">
            <w:pPr>
              <w:spacing w:after="200" w:line="276" w:lineRule="auto"/>
              <w:rPr>
                <w:rFonts w:eastAsia="Arial" w:cs="Arial"/>
                <w:i/>
                <w:sz w:val="18"/>
                <w:szCs w:val="18"/>
              </w:rPr>
            </w:pPr>
          </w:p>
        </w:tc>
      </w:tr>
      <w:tr w:rsidR="00241BD9" w:rsidRPr="005C2884" w14:paraId="5D9240FC" w14:textId="77777777" w:rsidTr="00F712FC">
        <w:trPr>
          <w:trHeight w:val="342"/>
        </w:trPr>
        <w:tc>
          <w:tcPr>
            <w:tcW w:w="410" w:type="pct"/>
          </w:tcPr>
          <w:p w14:paraId="0E66DBD0"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2.</w:t>
            </w:r>
          </w:p>
        </w:tc>
        <w:tc>
          <w:tcPr>
            <w:tcW w:w="4471" w:type="pct"/>
          </w:tcPr>
          <w:p w14:paraId="1B0B6187" w14:textId="77777777" w:rsidR="00241BD9" w:rsidRPr="005C2884" w:rsidRDefault="00241BD9" w:rsidP="00F712FC">
            <w:pPr>
              <w:spacing w:after="200" w:line="276" w:lineRule="auto"/>
              <w:rPr>
                <w:rFonts w:eastAsia="Arial" w:cs="Arial"/>
                <w:b/>
                <w:sz w:val="18"/>
                <w:szCs w:val="18"/>
              </w:rPr>
            </w:pPr>
            <w:r w:rsidRPr="005C2884">
              <w:rPr>
                <w:rFonts w:eastAsia="Arial" w:cs="Arial"/>
                <w:b/>
                <w:sz w:val="18"/>
                <w:szCs w:val="18"/>
              </w:rPr>
              <w:t xml:space="preserve">Apdrošinājuma summa: </w:t>
            </w:r>
          </w:p>
        </w:tc>
        <w:tc>
          <w:tcPr>
            <w:tcW w:w="119" w:type="pct"/>
          </w:tcPr>
          <w:p w14:paraId="1EA93CE8" w14:textId="77777777" w:rsidR="00241BD9" w:rsidRPr="005C2884" w:rsidRDefault="00241BD9" w:rsidP="00F712FC">
            <w:pPr>
              <w:spacing w:after="200" w:line="276" w:lineRule="auto"/>
              <w:rPr>
                <w:rFonts w:eastAsia="Arial" w:cs="Arial"/>
                <w:i/>
                <w:sz w:val="18"/>
                <w:szCs w:val="18"/>
              </w:rPr>
            </w:pPr>
          </w:p>
        </w:tc>
      </w:tr>
      <w:tr w:rsidR="00241BD9" w:rsidRPr="005C2884" w14:paraId="72018D6D" w14:textId="77777777" w:rsidTr="00F712FC">
        <w:tc>
          <w:tcPr>
            <w:tcW w:w="410" w:type="pct"/>
          </w:tcPr>
          <w:p w14:paraId="4ED3DFEF"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2.1.</w:t>
            </w:r>
          </w:p>
        </w:tc>
        <w:tc>
          <w:tcPr>
            <w:tcW w:w="4471" w:type="pct"/>
          </w:tcPr>
          <w:p w14:paraId="3142AC3E"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apdrošinājuma summa katram objektam atsevišķi tiks nodrošināta atjaunošanas/aizvietošanas vērtības apmērā, t.i., nodrošinot, lai zemapdrošināšanas princips nav spēkā. </w:t>
            </w:r>
          </w:p>
        </w:tc>
        <w:tc>
          <w:tcPr>
            <w:tcW w:w="119" w:type="pct"/>
          </w:tcPr>
          <w:p w14:paraId="65D686E3" w14:textId="77777777" w:rsidR="00241BD9" w:rsidRPr="005C2884" w:rsidRDefault="00241BD9" w:rsidP="00F712FC">
            <w:pPr>
              <w:spacing w:after="200" w:line="276" w:lineRule="auto"/>
              <w:rPr>
                <w:rFonts w:eastAsia="Arial" w:cs="Arial"/>
                <w:i/>
                <w:sz w:val="18"/>
                <w:szCs w:val="18"/>
              </w:rPr>
            </w:pPr>
          </w:p>
        </w:tc>
      </w:tr>
      <w:tr w:rsidR="00241BD9" w:rsidRPr="005C2884" w14:paraId="373F38B6" w14:textId="77777777" w:rsidTr="00F712FC">
        <w:tc>
          <w:tcPr>
            <w:tcW w:w="410" w:type="pct"/>
          </w:tcPr>
          <w:p w14:paraId="409B7C11"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2.2.</w:t>
            </w:r>
          </w:p>
          <w:p w14:paraId="27F3808D" w14:textId="77777777" w:rsidR="00241BD9" w:rsidRPr="005C2884" w:rsidRDefault="00241BD9" w:rsidP="00F712FC">
            <w:pPr>
              <w:spacing w:line="276" w:lineRule="auto"/>
              <w:jc w:val="center"/>
              <w:rPr>
                <w:rFonts w:eastAsia="Arial" w:cs="Arial"/>
                <w:sz w:val="18"/>
                <w:szCs w:val="18"/>
              </w:rPr>
            </w:pPr>
          </w:p>
          <w:p w14:paraId="43977C09"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2.2.1.</w:t>
            </w:r>
          </w:p>
          <w:p w14:paraId="257E44CE" w14:textId="77777777" w:rsidR="00241BD9" w:rsidRPr="005C2884" w:rsidRDefault="00241BD9" w:rsidP="00F712FC">
            <w:pPr>
              <w:spacing w:line="276" w:lineRule="auto"/>
              <w:jc w:val="center"/>
              <w:rPr>
                <w:rFonts w:eastAsia="Arial" w:cs="Arial"/>
                <w:sz w:val="18"/>
                <w:szCs w:val="18"/>
              </w:rPr>
            </w:pPr>
          </w:p>
        </w:tc>
        <w:tc>
          <w:tcPr>
            <w:tcW w:w="4471" w:type="pct"/>
          </w:tcPr>
          <w:p w14:paraId="78225D03" w14:textId="77777777" w:rsidR="00241BD9" w:rsidRPr="005C2884" w:rsidRDefault="00241BD9" w:rsidP="00F712FC">
            <w:pPr>
              <w:suppressAutoHyphens/>
              <w:autoSpaceDE w:val="0"/>
              <w:spacing w:line="276" w:lineRule="auto"/>
              <w:jc w:val="both"/>
              <w:rPr>
                <w:rFonts w:eastAsia="Arial" w:cs="Arial"/>
                <w:b/>
                <w:i/>
                <w:sz w:val="18"/>
                <w:szCs w:val="18"/>
                <w:lang w:eastAsia="zh-CN"/>
              </w:rPr>
            </w:pPr>
            <w:r w:rsidRPr="005C2884">
              <w:rPr>
                <w:rFonts w:eastAsia="Arial" w:cs="Arial"/>
                <w:sz w:val="18"/>
                <w:szCs w:val="18"/>
                <w:lang w:eastAsia="zh-CN"/>
              </w:rPr>
              <w:t xml:space="preserve">apdrošinājuma summa katram objektam atsevišķi un visiem objektiem kopā tiek ierobežota ar </w:t>
            </w:r>
            <w:r w:rsidRPr="005C2884">
              <w:rPr>
                <w:rFonts w:eastAsia="Arial" w:cs="Arial"/>
                <w:b/>
                <w:i/>
                <w:sz w:val="18"/>
                <w:szCs w:val="18"/>
                <w:lang w:eastAsia="zh-CN"/>
              </w:rPr>
              <w:t>„pirmā zaudējuma limitu” eiro apmērā:</w:t>
            </w:r>
          </w:p>
          <w:p w14:paraId="5957358C"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EUR 30.000.000</w:t>
            </w:r>
          </w:p>
          <w:p w14:paraId="01AE26A3" w14:textId="77777777" w:rsidR="00241BD9" w:rsidRPr="005C2884" w:rsidRDefault="00241BD9" w:rsidP="00F712FC">
            <w:pPr>
              <w:suppressAutoHyphens/>
              <w:autoSpaceDE w:val="0"/>
              <w:spacing w:line="276" w:lineRule="auto"/>
              <w:jc w:val="both"/>
              <w:rPr>
                <w:rFonts w:eastAsia="Arial" w:cs="Arial"/>
                <w:sz w:val="18"/>
                <w:szCs w:val="18"/>
                <w:lang w:eastAsia="zh-CN"/>
              </w:rPr>
            </w:pPr>
          </w:p>
        </w:tc>
        <w:tc>
          <w:tcPr>
            <w:tcW w:w="119" w:type="pct"/>
          </w:tcPr>
          <w:p w14:paraId="110CE87A" w14:textId="77777777" w:rsidR="00241BD9" w:rsidRPr="005C2884" w:rsidRDefault="00241BD9" w:rsidP="00F712FC">
            <w:pPr>
              <w:spacing w:after="200" w:line="276" w:lineRule="auto"/>
              <w:rPr>
                <w:rFonts w:eastAsia="Arial" w:cs="Arial"/>
                <w:i/>
                <w:sz w:val="18"/>
                <w:szCs w:val="18"/>
              </w:rPr>
            </w:pPr>
          </w:p>
        </w:tc>
      </w:tr>
      <w:tr w:rsidR="00241BD9" w:rsidRPr="005C2884" w14:paraId="4E4967E2" w14:textId="77777777" w:rsidTr="00F712FC">
        <w:tc>
          <w:tcPr>
            <w:tcW w:w="410" w:type="pct"/>
          </w:tcPr>
          <w:p w14:paraId="0F6F64ED"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2.3.</w:t>
            </w:r>
          </w:p>
        </w:tc>
        <w:tc>
          <w:tcPr>
            <w:tcW w:w="4471" w:type="pct"/>
          </w:tcPr>
          <w:p w14:paraId="3F7FA486"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katram objektam atsevišķi pēc apdrošināšanas atlīdzības izmaksas tiek atjaunota pilnā apmērā bez papildu apdrošināšanas prēmijas samaksas, izņemot gadījumus, kad īpašums ir gājis bojā un netiek atjaunots.</w:t>
            </w:r>
          </w:p>
        </w:tc>
        <w:tc>
          <w:tcPr>
            <w:tcW w:w="119" w:type="pct"/>
          </w:tcPr>
          <w:p w14:paraId="1ED78D03" w14:textId="77777777" w:rsidR="00241BD9" w:rsidRPr="005C2884" w:rsidRDefault="00241BD9" w:rsidP="00F712FC">
            <w:pPr>
              <w:spacing w:after="200" w:line="276" w:lineRule="auto"/>
              <w:rPr>
                <w:rFonts w:eastAsia="Arial" w:cs="Arial"/>
                <w:i/>
                <w:sz w:val="18"/>
                <w:szCs w:val="18"/>
              </w:rPr>
            </w:pPr>
          </w:p>
        </w:tc>
      </w:tr>
      <w:tr w:rsidR="00241BD9" w:rsidRPr="005C2884" w14:paraId="420C0D1C" w14:textId="77777777" w:rsidTr="00F712FC">
        <w:tc>
          <w:tcPr>
            <w:tcW w:w="410" w:type="pct"/>
          </w:tcPr>
          <w:p w14:paraId="712320FD"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3.</w:t>
            </w:r>
          </w:p>
        </w:tc>
        <w:tc>
          <w:tcPr>
            <w:tcW w:w="4471" w:type="pct"/>
          </w:tcPr>
          <w:p w14:paraId="6BB58C95"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Apdrošināšanas teritorija</w:t>
            </w:r>
            <w:r w:rsidRPr="005C2884">
              <w:rPr>
                <w:rFonts w:eastAsia="Arial" w:cs="Arial"/>
                <w:sz w:val="18"/>
                <w:szCs w:val="18"/>
                <w:lang w:eastAsia="zh-CN"/>
              </w:rPr>
              <w:t xml:space="preserve"> – visi objekti, kuros Pasūtītājs veic un apdrošināšanas perioda laikā uzsāk veikt saimniecisko darbību, vai kas nodrošina Pasūtītāja saimniecisko darbību (t.sk. neiežogotās teritorijas).</w:t>
            </w:r>
          </w:p>
        </w:tc>
        <w:tc>
          <w:tcPr>
            <w:tcW w:w="119" w:type="pct"/>
          </w:tcPr>
          <w:p w14:paraId="2EDF27F1" w14:textId="77777777" w:rsidR="00241BD9" w:rsidRPr="005C2884" w:rsidRDefault="00241BD9" w:rsidP="00F712FC">
            <w:pPr>
              <w:spacing w:after="200" w:line="276" w:lineRule="auto"/>
              <w:rPr>
                <w:rFonts w:eastAsia="Arial" w:cs="Arial"/>
                <w:i/>
                <w:sz w:val="18"/>
                <w:szCs w:val="18"/>
              </w:rPr>
            </w:pPr>
          </w:p>
        </w:tc>
      </w:tr>
      <w:tr w:rsidR="00241BD9" w:rsidRPr="005C2884" w14:paraId="7223B18A" w14:textId="77777777" w:rsidTr="00F712FC">
        <w:tc>
          <w:tcPr>
            <w:tcW w:w="410" w:type="pct"/>
          </w:tcPr>
          <w:p w14:paraId="635FCCBA"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3.1.</w:t>
            </w:r>
          </w:p>
        </w:tc>
        <w:tc>
          <w:tcPr>
            <w:tcW w:w="4471" w:type="pct"/>
          </w:tcPr>
          <w:p w14:paraId="6D3DE870"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Tiks nodrošināts Tehniskās specifikācijas 4.punktam atbilstošs apdrošināšanas segums 50 000 eiro apakšlimita ietvaros (par jebkuru vienu gadījumu un periodā kopā) kustamajam īpašumam ārpus apdrošinātā nekustamā īpašuma vai nožogotas un apsargātas teritorijas, kurā Pasūtītājs veic saimniecisko darbību, piemēram, atrodoties ceļā. Portatīvajai tehnikai (datori, mobilie telefoni u.tml.) teritorija Eiropa, pārējam īpašumam - Latvija.</w:t>
            </w:r>
          </w:p>
        </w:tc>
        <w:tc>
          <w:tcPr>
            <w:tcW w:w="119" w:type="pct"/>
          </w:tcPr>
          <w:p w14:paraId="7B0B0DF7" w14:textId="77777777" w:rsidR="00241BD9" w:rsidRPr="005C2884" w:rsidRDefault="00241BD9" w:rsidP="00F712FC">
            <w:pPr>
              <w:spacing w:after="200" w:line="276" w:lineRule="auto"/>
              <w:rPr>
                <w:rFonts w:eastAsia="Arial" w:cs="Arial"/>
                <w:i/>
                <w:sz w:val="18"/>
                <w:szCs w:val="18"/>
              </w:rPr>
            </w:pPr>
          </w:p>
        </w:tc>
      </w:tr>
      <w:tr w:rsidR="00241BD9" w:rsidRPr="005C2884" w14:paraId="2FF890FA" w14:textId="77777777" w:rsidTr="00F712FC">
        <w:tc>
          <w:tcPr>
            <w:tcW w:w="410" w:type="pct"/>
          </w:tcPr>
          <w:p w14:paraId="5E5F023A"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w:t>
            </w:r>
          </w:p>
        </w:tc>
        <w:tc>
          <w:tcPr>
            <w:tcW w:w="4471" w:type="pct"/>
          </w:tcPr>
          <w:p w14:paraId="7DE55816"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Apdrošinātie riski - visu risku segums</w:t>
            </w:r>
            <w:r w:rsidRPr="005C2884">
              <w:rPr>
                <w:rFonts w:eastAsia="Arial" w:cs="Arial"/>
                <w:sz w:val="18"/>
                <w:szCs w:val="18"/>
                <w:lang w:eastAsia="zh-CN"/>
              </w:rPr>
              <w:t>. Visi riski šīs sadaļas izpratnē ir jebkāds apdrošinātā īpašuma pēkšņs un neparedzēts fiziska bojājuma vai zuduma gadījums jebkādu cēloņu rezultātā, tai skaitā, bet neierobežojot ar zemāk nosauktajiem riskiem:</w:t>
            </w:r>
          </w:p>
        </w:tc>
        <w:tc>
          <w:tcPr>
            <w:tcW w:w="119" w:type="pct"/>
          </w:tcPr>
          <w:p w14:paraId="62714F35" w14:textId="77777777" w:rsidR="00241BD9" w:rsidRPr="005C2884" w:rsidRDefault="00241BD9" w:rsidP="00F712FC">
            <w:pPr>
              <w:spacing w:after="200" w:line="276" w:lineRule="auto"/>
              <w:rPr>
                <w:rFonts w:eastAsia="Arial" w:cs="Arial"/>
                <w:i/>
                <w:sz w:val="18"/>
                <w:szCs w:val="18"/>
              </w:rPr>
            </w:pPr>
            <w:r w:rsidRPr="005C2884">
              <w:rPr>
                <w:rFonts w:eastAsia="Arial" w:cs="Arial"/>
                <w:i/>
                <w:sz w:val="18"/>
                <w:szCs w:val="18"/>
              </w:rPr>
              <w:t xml:space="preserve"> </w:t>
            </w:r>
          </w:p>
        </w:tc>
      </w:tr>
      <w:tr w:rsidR="00241BD9" w:rsidRPr="005C2884" w14:paraId="5A45C926" w14:textId="77777777" w:rsidTr="00F712FC">
        <w:tc>
          <w:tcPr>
            <w:tcW w:w="410" w:type="pct"/>
          </w:tcPr>
          <w:p w14:paraId="6DDE8FCC"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w:t>
            </w:r>
          </w:p>
        </w:tc>
        <w:tc>
          <w:tcPr>
            <w:tcW w:w="4471" w:type="pct"/>
          </w:tcPr>
          <w:p w14:paraId="0E3F822B"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9" w:type="pct"/>
          </w:tcPr>
          <w:p w14:paraId="3571653E" w14:textId="77777777" w:rsidR="00241BD9" w:rsidRPr="005C2884" w:rsidRDefault="00241BD9" w:rsidP="00F712FC">
            <w:pPr>
              <w:spacing w:after="200" w:line="276" w:lineRule="auto"/>
              <w:rPr>
                <w:rFonts w:eastAsia="Arial" w:cs="Arial"/>
                <w:i/>
                <w:sz w:val="18"/>
                <w:szCs w:val="18"/>
              </w:rPr>
            </w:pPr>
          </w:p>
        </w:tc>
      </w:tr>
      <w:tr w:rsidR="00241BD9" w:rsidRPr="005C2884" w14:paraId="45E6C97A" w14:textId="77777777" w:rsidTr="00F712FC">
        <w:tc>
          <w:tcPr>
            <w:tcW w:w="410" w:type="pct"/>
          </w:tcPr>
          <w:p w14:paraId="4242978A"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4.2.</w:t>
            </w:r>
          </w:p>
        </w:tc>
        <w:tc>
          <w:tcPr>
            <w:tcW w:w="4471" w:type="pct"/>
          </w:tcPr>
          <w:p w14:paraId="0FBC4FB8"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9" w:type="pct"/>
          </w:tcPr>
          <w:p w14:paraId="464AFD5E" w14:textId="77777777" w:rsidR="00241BD9" w:rsidRPr="005C2884" w:rsidRDefault="00241BD9" w:rsidP="00F712FC">
            <w:pPr>
              <w:spacing w:after="200" w:line="276" w:lineRule="auto"/>
              <w:rPr>
                <w:rFonts w:eastAsia="Arial" w:cs="Arial"/>
                <w:i/>
                <w:sz w:val="18"/>
                <w:szCs w:val="18"/>
              </w:rPr>
            </w:pPr>
          </w:p>
        </w:tc>
      </w:tr>
      <w:tr w:rsidR="00241BD9" w:rsidRPr="005C2884" w14:paraId="0D2B1ADF" w14:textId="77777777" w:rsidTr="00F712FC">
        <w:tc>
          <w:tcPr>
            <w:tcW w:w="410" w:type="pct"/>
          </w:tcPr>
          <w:p w14:paraId="41CC2E5A"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4.3.</w:t>
            </w:r>
          </w:p>
        </w:tc>
        <w:tc>
          <w:tcPr>
            <w:tcW w:w="4471" w:type="pct"/>
          </w:tcPr>
          <w:p w14:paraId="511B1526"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Zibens spēriens (t.sk., lodveida zibens) – tieša atmosfēras pārsprieguma iedarbība uz apdrošinātajiem priekšmetiem un elektroietaisēm.</w:t>
            </w:r>
          </w:p>
        </w:tc>
        <w:tc>
          <w:tcPr>
            <w:tcW w:w="119" w:type="pct"/>
          </w:tcPr>
          <w:p w14:paraId="17074692" w14:textId="77777777" w:rsidR="00241BD9" w:rsidRPr="005C2884" w:rsidRDefault="00241BD9" w:rsidP="00F712FC">
            <w:pPr>
              <w:spacing w:after="200" w:line="276" w:lineRule="auto"/>
              <w:rPr>
                <w:rFonts w:eastAsia="Arial" w:cs="Arial"/>
                <w:i/>
                <w:sz w:val="18"/>
                <w:szCs w:val="18"/>
              </w:rPr>
            </w:pPr>
          </w:p>
        </w:tc>
      </w:tr>
      <w:tr w:rsidR="00241BD9" w:rsidRPr="005C2884" w14:paraId="24CB388B" w14:textId="77777777" w:rsidTr="00F712FC">
        <w:tc>
          <w:tcPr>
            <w:tcW w:w="410" w:type="pct"/>
          </w:tcPr>
          <w:p w14:paraId="49B28998"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4.4.</w:t>
            </w:r>
          </w:p>
          <w:p w14:paraId="615568FA" w14:textId="77777777" w:rsidR="00241BD9" w:rsidRPr="005C2884" w:rsidRDefault="00241BD9" w:rsidP="00F712FC">
            <w:pPr>
              <w:spacing w:line="276" w:lineRule="auto"/>
              <w:jc w:val="center"/>
              <w:rPr>
                <w:rFonts w:eastAsia="Arial" w:cs="Arial"/>
                <w:sz w:val="18"/>
                <w:szCs w:val="18"/>
              </w:rPr>
            </w:pPr>
          </w:p>
          <w:p w14:paraId="24A93A14" w14:textId="77777777" w:rsidR="00241BD9" w:rsidRPr="005C2884" w:rsidRDefault="00241BD9" w:rsidP="00F712FC">
            <w:pPr>
              <w:spacing w:line="276" w:lineRule="auto"/>
              <w:jc w:val="center"/>
              <w:rPr>
                <w:rFonts w:eastAsia="Arial" w:cs="Arial"/>
                <w:sz w:val="18"/>
                <w:szCs w:val="18"/>
              </w:rPr>
            </w:pPr>
          </w:p>
          <w:p w14:paraId="0B25E364"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4.5.</w:t>
            </w:r>
          </w:p>
        </w:tc>
        <w:tc>
          <w:tcPr>
            <w:tcW w:w="4471" w:type="pct"/>
          </w:tcPr>
          <w:p w14:paraId="479129CD"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Plūdi – lielākas vai mazākas teritorijas applūšana ar ūdeni, kas pārgājis pāri ūdenstilpņu vai baseinu robežām.</w:t>
            </w:r>
          </w:p>
          <w:p w14:paraId="26FD7956" w14:textId="77777777" w:rsidR="00241BD9" w:rsidRPr="005C2884" w:rsidRDefault="00241BD9" w:rsidP="00F712FC">
            <w:pPr>
              <w:suppressAutoHyphens/>
              <w:autoSpaceDE w:val="0"/>
              <w:spacing w:line="276" w:lineRule="auto"/>
              <w:jc w:val="both"/>
              <w:rPr>
                <w:rFonts w:eastAsia="Arial" w:cs="Arial"/>
                <w:sz w:val="18"/>
                <w:szCs w:val="18"/>
                <w:lang w:eastAsia="zh-CN"/>
              </w:rPr>
            </w:pPr>
          </w:p>
          <w:p w14:paraId="6524A63E"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Publiskā ūdens/lietus ūdens radīti zaudējumi</w:t>
            </w:r>
          </w:p>
          <w:p w14:paraId="4A0A75BC"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Apdrošināšanas segumā iekļauti ūdens nodarītie zaudējumi vai bojājumi, kas apdrošinātajam īpašumam radušies saistībā ar municipālās vai citas publiskās ūdens, apkures vai kanalizācijas maģistrālo cauruļvadu avāriju – to pēkšņa un neparedzēta plīsuma dēļ. Apdrošināšanas segumā iekļauti arī zaudējumi, kas radušies drenāžas, novadīšanas vai kanalizācijas sistēmai nespējot novadīt ūdens daudzumu nokrišņu rezultātā, izņemot sistēmas aizdambējumu un aizsērējumu rezultātā. Izmaksājamās atlīdzības apmērs par polisi tiek noteikts ne vairāk kā EUR 100 000.</w:t>
            </w:r>
          </w:p>
          <w:p w14:paraId="0E5385A4" w14:textId="77777777" w:rsidR="00241BD9" w:rsidRPr="005C2884" w:rsidRDefault="00241BD9" w:rsidP="00F712FC">
            <w:pPr>
              <w:suppressAutoHyphens/>
              <w:autoSpaceDE w:val="0"/>
              <w:spacing w:line="276" w:lineRule="auto"/>
              <w:jc w:val="both"/>
              <w:rPr>
                <w:rFonts w:eastAsia="Arial" w:cs="Arial"/>
                <w:sz w:val="18"/>
                <w:szCs w:val="18"/>
                <w:lang w:eastAsia="zh-CN"/>
              </w:rPr>
            </w:pPr>
          </w:p>
        </w:tc>
        <w:tc>
          <w:tcPr>
            <w:tcW w:w="119" w:type="pct"/>
          </w:tcPr>
          <w:p w14:paraId="353A9DF9" w14:textId="77777777" w:rsidR="00241BD9" w:rsidRPr="005C2884" w:rsidRDefault="00241BD9" w:rsidP="00F712FC">
            <w:pPr>
              <w:spacing w:after="200" w:line="276" w:lineRule="auto"/>
              <w:rPr>
                <w:rFonts w:eastAsia="Arial" w:cs="Arial"/>
                <w:i/>
                <w:sz w:val="18"/>
                <w:szCs w:val="18"/>
              </w:rPr>
            </w:pPr>
          </w:p>
        </w:tc>
      </w:tr>
      <w:tr w:rsidR="00241BD9" w:rsidRPr="005C2884" w14:paraId="6B57A792" w14:textId="77777777" w:rsidTr="00F712FC">
        <w:tc>
          <w:tcPr>
            <w:tcW w:w="410" w:type="pct"/>
          </w:tcPr>
          <w:p w14:paraId="2344F33B"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4.6.</w:t>
            </w:r>
          </w:p>
        </w:tc>
        <w:tc>
          <w:tcPr>
            <w:tcW w:w="4471" w:type="pct"/>
          </w:tcPr>
          <w:p w14:paraId="2733E3E5"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9" w:type="pct"/>
          </w:tcPr>
          <w:p w14:paraId="0CBA8A48" w14:textId="77777777" w:rsidR="00241BD9" w:rsidRPr="005C2884" w:rsidRDefault="00241BD9" w:rsidP="00F712FC">
            <w:pPr>
              <w:spacing w:after="200" w:line="276" w:lineRule="auto"/>
              <w:rPr>
                <w:rFonts w:eastAsia="Arial" w:cs="Arial"/>
                <w:i/>
                <w:sz w:val="18"/>
                <w:szCs w:val="18"/>
              </w:rPr>
            </w:pPr>
          </w:p>
        </w:tc>
      </w:tr>
      <w:tr w:rsidR="00241BD9" w:rsidRPr="005C2884" w14:paraId="37F0FD12" w14:textId="77777777" w:rsidTr="00F712FC">
        <w:tc>
          <w:tcPr>
            <w:tcW w:w="410" w:type="pct"/>
          </w:tcPr>
          <w:p w14:paraId="1CC48DD1"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4.7</w:t>
            </w:r>
          </w:p>
        </w:tc>
        <w:tc>
          <w:tcPr>
            <w:tcW w:w="4471" w:type="pct"/>
          </w:tcPr>
          <w:p w14:paraId="3B81557B"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Zemestrīce – zemes garozas svārstības Latvijas teritorijā.</w:t>
            </w:r>
          </w:p>
        </w:tc>
        <w:tc>
          <w:tcPr>
            <w:tcW w:w="119" w:type="pct"/>
          </w:tcPr>
          <w:p w14:paraId="6BB91F41" w14:textId="77777777" w:rsidR="00241BD9" w:rsidRPr="005C2884" w:rsidRDefault="00241BD9" w:rsidP="00F712FC">
            <w:pPr>
              <w:spacing w:after="200" w:line="276" w:lineRule="auto"/>
              <w:rPr>
                <w:rFonts w:eastAsia="Arial" w:cs="Arial"/>
                <w:i/>
                <w:sz w:val="18"/>
                <w:szCs w:val="18"/>
              </w:rPr>
            </w:pPr>
          </w:p>
        </w:tc>
      </w:tr>
      <w:tr w:rsidR="00241BD9" w:rsidRPr="005C2884" w14:paraId="15EC5015" w14:textId="77777777" w:rsidTr="00F712FC">
        <w:tc>
          <w:tcPr>
            <w:tcW w:w="410" w:type="pct"/>
          </w:tcPr>
          <w:p w14:paraId="33296A24"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4.8.</w:t>
            </w:r>
          </w:p>
        </w:tc>
        <w:tc>
          <w:tcPr>
            <w:tcW w:w="4471" w:type="pct"/>
          </w:tcPr>
          <w:p w14:paraId="56D9AF4F"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Krusa – dažādas formas, lieluma vai svara ledus gabaliņi, kas nokrīt uz apdrošināto objektu un tādējādi izraisa tā bojāeju vai bojājumu.</w:t>
            </w:r>
          </w:p>
        </w:tc>
        <w:tc>
          <w:tcPr>
            <w:tcW w:w="119" w:type="pct"/>
          </w:tcPr>
          <w:p w14:paraId="7827476E" w14:textId="77777777" w:rsidR="00241BD9" w:rsidRPr="005C2884" w:rsidRDefault="00241BD9" w:rsidP="00F712FC">
            <w:pPr>
              <w:spacing w:after="200" w:line="276" w:lineRule="auto"/>
              <w:rPr>
                <w:rFonts w:eastAsia="Arial" w:cs="Arial"/>
                <w:i/>
                <w:sz w:val="18"/>
                <w:szCs w:val="18"/>
              </w:rPr>
            </w:pPr>
          </w:p>
        </w:tc>
      </w:tr>
      <w:tr w:rsidR="00241BD9" w:rsidRPr="005C2884" w14:paraId="1C790B4E" w14:textId="77777777" w:rsidTr="00F712FC">
        <w:tc>
          <w:tcPr>
            <w:tcW w:w="410" w:type="pct"/>
          </w:tcPr>
          <w:p w14:paraId="25C8F8B1"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4.9.</w:t>
            </w:r>
          </w:p>
        </w:tc>
        <w:tc>
          <w:tcPr>
            <w:tcW w:w="4471" w:type="pct"/>
          </w:tcPr>
          <w:p w14:paraId="29F96795"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Nepārtraukta snigšanas rezultātā radušies sniega vai ledus svara, kā arī krītoša sniega vai ledus nodarīti bojājumi apdrošinātajam objektam (tai skaitā pie ēkām piestiprinātiem gaismas ķermeņiem, videonovērošanas kamerām, kondicionēšanas un ventilācijas iekārtām, reklāmas izkārtnēm, nojumēm), ja sniegu vai ledu savlaicīgi nav bijis iespējams notīrīt objektīvu iemeslu dēļ.</w:t>
            </w:r>
          </w:p>
        </w:tc>
        <w:tc>
          <w:tcPr>
            <w:tcW w:w="119" w:type="pct"/>
          </w:tcPr>
          <w:p w14:paraId="60078B54" w14:textId="77777777" w:rsidR="00241BD9" w:rsidRPr="005C2884" w:rsidRDefault="00241BD9" w:rsidP="00F712FC">
            <w:pPr>
              <w:spacing w:after="200" w:line="276" w:lineRule="auto"/>
              <w:rPr>
                <w:rFonts w:eastAsia="Arial" w:cs="Arial"/>
                <w:i/>
                <w:sz w:val="18"/>
                <w:szCs w:val="18"/>
              </w:rPr>
            </w:pPr>
          </w:p>
        </w:tc>
      </w:tr>
      <w:tr w:rsidR="00241BD9" w:rsidRPr="005C2884" w14:paraId="509721A1" w14:textId="77777777" w:rsidTr="00F712FC">
        <w:tc>
          <w:tcPr>
            <w:tcW w:w="410" w:type="pct"/>
          </w:tcPr>
          <w:p w14:paraId="6AB3777D"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4.10.</w:t>
            </w:r>
          </w:p>
        </w:tc>
        <w:tc>
          <w:tcPr>
            <w:tcW w:w="4471" w:type="pct"/>
          </w:tcPr>
          <w:p w14:paraId="01FBF38B"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Koku, mastu vai citu priekšmetu un vielu uzkrišana apdrošinātajiem objektiem, neatkarīgi no iemesla.</w:t>
            </w:r>
          </w:p>
        </w:tc>
        <w:tc>
          <w:tcPr>
            <w:tcW w:w="119" w:type="pct"/>
          </w:tcPr>
          <w:p w14:paraId="39BADC03" w14:textId="77777777" w:rsidR="00241BD9" w:rsidRPr="005C2884" w:rsidRDefault="00241BD9" w:rsidP="00F712FC">
            <w:pPr>
              <w:spacing w:after="200" w:line="276" w:lineRule="auto"/>
              <w:rPr>
                <w:rFonts w:eastAsia="Arial" w:cs="Arial"/>
                <w:i/>
                <w:sz w:val="18"/>
                <w:szCs w:val="18"/>
              </w:rPr>
            </w:pPr>
          </w:p>
        </w:tc>
      </w:tr>
      <w:tr w:rsidR="00241BD9" w:rsidRPr="005C2884" w14:paraId="0F90157F" w14:textId="77777777" w:rsidTr="00F712FC">
        <w:tc>
          <w:tcPr>
            <w:tcW w:w="410" w:type="pct"/>
          </w:tcPr>
          <w:p w14:paraId="50F1F35B"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4.11.</w:t>
            </w:r>
          </w:p>
        </w:tc>
        <w:tc>
          <w:tcPr>
            <w:tcW w:w="4471" w:type="pct"/>
          </w:tcPr>
          <w:p w14:paraId="6D11CA0A"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Gaisa kuģu, to daļu vai to pārvadājamās kravas uzkrišana apdrošinātajam objektam.</w:t>
            </w:r>
          </w:p>
        </w:tc>
        <w:tc>
          <w:tcPr>
            <w:tcW w:w="119" w:type="pct"/>
          </w:tcPr>
          <w:p w14:paraId="5E80D59F" w14:textId="77777777" w:rsidR="00241BD9" w:rsidRPr="005C2884" w:rsidRDefault="00241BD9" w:rsidP="00F712FC">
            <w:pPr>
              <w:spacing w:after="200" w:line="276" w:lineRule="auto"/>
              <w:rPr>
                <w:rFonts w:eastAsia="Arial" w:cs="Arial"/>
                <w:i/>
                <w:sz w:val="18"/>
                <w:szCs w:val="18"/>
              </w:rPr>
            </w:pPr>
          </w:p>
        </w:tc>
      </w:tr>
      <w:tr w:rsidR="00241BD9" w:rsidRPr="005C2884" w14:paraId="3CDD965F" w14:textId="77777777" w:rsidTr="00F712FC">
        <w:tc>
          <w:tcPr>
            <w:tcW w:w="410" w:type="pct"/>
          </w:tcPr>
          <w:p w14:paraId="25956FB9"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4.12.</w:t>
            </w:r>
          </w:p>
        </w:tc>
        <w:tc>
          <w:tcPr>
            <w:tcW w:w="4471" w:type="pct"/>
          </w:tcPr>
          <w:p w14:paraId="70EBC3BA"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Ūdens, šķidruma noplūde – jebkuras cisternas, rezervuāra, caurules ūdens vai kanalizācijas sistēmas avārija. Zaudējumi, kas radušies, noplūstot šķidrumam vai tvaikam no ūdens apgādes, kanalizācijas, apkures, ugunsdzēšanas sistēmu cauruļvadiem vai ierīcēm, kā arī no citām ēkā vai būvē izvietotām ierīcēm un cauruļvadiem, tai skaitā trešo personu darbības vai bezdarbības rezultātā notikusi šķidruma vai tvaika noplūde.</w:t>
            </w:r>
          </w:p>
        </w:tc>
        <w:tc>
          <w:tcPr>
            <w:tcW w:w="119" w:type="pct"/>
          </w:tcPr>
          <w:p w14:paraId="1FC0A744" w14:textId="77777777" w:rsidR="00241BD9" w:rsidRPr="005C2884" w:rsidRDefault="00241BD9" w:rsidP="00F712FC">
            <w:pPr>
              <w:spacing w:after="200" w:line="276" w:lineRule="auto"/>
              <w:rPr>
                <w:rFonts w:eastAsia="Arial" w:cs="Arial"/>
                <w:i/>
                <w:sz w:val="18"/>
                <w:szCs w:val="18"/>
              </w:rPr>
            </w:pPr>
          </w:p>
        </w:tc>
      </w:tr>
      <w:tr w:rsidR="00241BD9" w:rsidRPr="005C2884" w14:paraId="3EE278AD" w14:textId="77777777" w:rsidTr="00F712FC">
        <w:tc>
          <w:tcPr>
            <w:tcW w:w="410" w:type="pct"/>
          </w:tcPr>
          <w:p w14:paraId="1BDE9CF8"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4.13.</w:t>
            </w:r>
          </w:p>
        </w:tc>
        <w:tc>
          <w:tcPr>
            <w:tcW w:w="4471" w:type="pct"/>
          </w:tcPr>
          <w:p w14:paraId="4638A37F"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Trešo personu prettiesiska rīcība – zādzība, zādzības mēģinājums, laupīšana, laupīšanas mēģinājums, vandālisms, ļaunprātīga dedzināšana, sprādziena izraisīšana, terorisms un citas trešo personu prettiesiskas rīcības, tai skaitā, grafiti ar apakšlimitu EUR 15 000, tīša/netīša īpašuma bojāšana vai iznīcināšana (saskaņā ar Latvijas Republikas krimināltiesību normām). Apdrošināšanas riska “Terorisms” apdrošināšanas atlīdzībai tiek noteikts limits EUR 3 500 000.</w:t>
            </w:r>
          </w:p>
        </w:tc>
        <w:tc>
          <w:tcPr>
            <w:tcW w:w="119" w:type="pct"/>
          </w:tcPr>
          <w:p w14:paraId="05E50AF8" w14:textId="77777777" w:rsidR="00241BD9" w:rsidRPr="005C2884" w:rsidRDefault="00241BD9" w:rsidP="00F712FC">
            <w:pPr>
              <w:spacing w:after="200" w:line="276" w:lineRule="auto"/>
              <w:rPr>
                <w:rFonts w:eastAsia="Arial" w:cs="Arial"/>
                <w:i/>
                <w:sz w:val="18"/>
                <w:szCs w:val="18"/>
              </w:rPr>
            </w:pPr>
          </w:p>
        </w:tc>
      </w:tr>
      <w:tr w:rsidR="00241BD9" w:rsidRPr="005C2884" w14:paraId="2204CCF3" w14:textId="77777777" w:rsidTr="00F712FC">
        <w:tc>
          <w:tcPr>
            <w:tcW w:w="410" w:type="pct"/>
          </w:tcPr>
          <w:p w14:paraId="113C619D"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4.14.</w:t>
            </w:r>
          </w:p>
        </w:tc>
        <w:tc>
          <w:tcPr>
            <w:tcW w:w="4471" w:type="pct"/>
          </w:tcPr>
          <w:p w14:paraId="54797291"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Sadursme – jebkura veida sauszemes transporta līdzekļa, iekraušanas vai izkraušanas mehānisma tiešs trieciens (objekta iekraušanas vai izkraušanas laikā), uzbraukšana apdrošināšanas objektam.</w:t>
            </w:r>
          </w:p>
        </w:tc>
        <w:tc>
          <w:tcPr>
            <w:tcW w:w="119" w:type="pct"/>
          </w:tcPr>
          <w:p w14:paraId="522CF6CC" w14:textId="77777777" w:rsidR="00241BD9" w:rsidRPr="005C2884" w:rsidRDefault="00241BD9" w:rsidP="00F712FC">
            <w:pPr>
              <w:spacing w:after="200" w:line="276" w:lineRule="auto"/>
              <w:rPr>
                <w:rFonts w:eastAsia="Arial" w:cs="Arial"/>
                <w:i/>
                <w:sz w:val="18"/>
                <w:szCs w:val="18"/>
              </w:rPr>
            </w:pPr>
          </w:p>
        </w:tc>
      </w:tr>
      <w:tr w:rsidR="00241BD9" w:rsidRPr="005C2884" w14:paraId="5C7F99D8" w14:textId="77777777" w:rsidTr="00F712FC">
        <w:tc>
          <w:tcPr>
            <w:tcW w:w="410" w:type="pct"/>
          </w:tcPr>
          <w:p w14:paraId="2D373BC7"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4.15.</w:t>
            </w:r>
          </w:p>
        </w:tc>
        <w:tc>
          <w:tcPr>
            <w:tcW w:w="4471" w:type="pct"/>
          </w:tcPr>
          <w:p w14:paraId="3AFD0F4B"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Jebkāds apdrošināto objektu stiklojums un/vai stikla konstrukcijas tiek apdrošinātas pret saplīšanu jebkādas mehāniskas vai termiskas iedarbības dēļ.</w:t>
            </w:r>
          </w:p>
        </w:tc>
        <w:tc>
          <w:tcPr>
            <w:tcW w:w="119" w:type="pct"/>
          </w:tcPr>
          <w:p w14:paraId="19408D76" w14:textId="77777777" w:rsidR="00241BD9" w:rsidRPr="005C2884" w:rsidRDefault="00241BD9" w:rsidP="00F712FC">
            <w:pPr>
              <w:spacing w:after="200" w:line="276" w:lineRule="auto"/>
              <w:rPr>
                <w:rFonts w:eastAsia="Arial" w:cs="Arial"/>
                <w:i/>
                <w:sz w:val="18"/>
                <w:szCs w:val="18"/>
              </w:rPr>
            </w:pPr>
          </w:p>
        </w:tc>
      </w:tr>
      <w:tr w:rsidR="00241BD9" w:rsidRPr="005C2884" w14:paraId="4E71B629" w14:textId="77777777" w:rsidTr="00F712FC">
        <w:tc>
          <w:tcPr>
            <w:tcW w:w="410" w:type="pct"/>
          </w:tcPr>
          <w:p w14:paraId="263DD33B"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4.16.</w:t>
            </w:r>
          </w:p>
        </w:tc>
        <w:tc>
          <w:tcPr>
            <w:tcW w:w="4471" w:type="pct"/>
          </w:tcPr>
          <w:p w14:paraId="2CDD3728"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Elektriskās parādības – zaudējumi, kas var rasties elektrības kvalitātes izmaiņu rezultātā publiskajā tīklā (tai skaitā īssavienojuma, sprieguma pārslodzes, sprieguma nepietiekamības, pārsprieguma, netieša zibens spēriena radīta pārsprieguma vai zemējuma defekta izraisīti) ar atlīdzības limitu EUR 250 000 par gadījumu un apdrošināšanas līguma laikā.</w:t>
            </w:r>
          </w:p>
        </w:tc>
        <w:tc>
          <w:tcPr>
            <w:tcW w:w="119" w:type="pct"/>
          </w:tcPr>
          <w:p w14:paraId="3D99C044" w14:textId="77777777" w:rsidR="00241BD9" w:rsidRPr="005C2884" w:rsidRDefault="00241BD9" w:rsidP="00F712FC">
            <w:pPr>
              <w:spacing w:after="200" w:line="276" w:lineRule="auto"/>
              <w:rPr>
                <w:rFonts w:eastAsia="Arial" w:cs="Arial"/>
                <w:i/>
                <w:sz w:val="18"/>
                <w:szCs w:val="18"/>
              </w:rPr>
            </w:pPr>
          </w:p>
        </w:tc>
      </w:tr>
      <w:tr w:rsidR="00241BD9" w:rsidRPr="005C2884" w14:paraId="07B6A2B0" w14:textId="77777777" w:rsidTr="00F712FC">
        <w:tc>
          <w:tcPr>
            <w:tcW w:w="410" w:type="pct"/>
          </w:tcPr>
          <w:p w14:paraId="7B662B57"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4.17.</w:t>
            </w:r>
          </w:p>
        </w:tc>
        <w:tc>
          <w:tcPr>
            <w:tcW w:w="4471" w:type="pct"/>
          </w:tcPr>
          <w:p w14:paraId="1999B0C1"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Tiek segti arī zaudējumi, kuri radušies saistībā ar:</w:t>
            </w:r>
          </w:p>
        </w:tc>
        <w:tc>
          <w:tcPr>
            <w:tcW w:w="119" w:type="pct"/>
          </w:tcPr>
          <w:p w14:paraId="381E913D" w14:textId="77777777" w:rsidR="00241BD9" w:rsidRPr="005C2884" w:rsidRDefault="00241BD9" w:rsidP="00F712FC">
            <w:pPr>
              <w:spacing w:after="200" w:line="276" w:lineRule="auto"/>
              <w:jc w:val="both"/>
              <w:rPr>
                <w:rFonts w:eastAsia="Arial" w:cs="Arial"/>
                <w:i/>
                <w:sz w:val="18"/>
                <w:szCs w:val="18"/>
              </w:rPr>
            </w:pPr>
          </w:p>
        </w:tc>
      </w:tr>
      <w:tr w:rsidR="00241BD9" w:rsidRPr="005C2884" w14:paraId="6B8587BD" w14:textId="77777777" w:rsidTr="00F712FC">
        <w:tc>
          <w:tcPr>
            <w:tcW w:w="410" w:type="pct"/>
          </w:tcPr>
          <w:p w14:paraId="048BDF08"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4.17.1.</w:t>
            </w:r>
          </w:p>
        </w:tc>
        <w:tc>
          <w:tcPr>
            <w:tcW w:w="4471" w:type="pct"/>
          </w:tcPr>
          <w:p w14:paraId="04F7E604"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ilgstošu, pakāpeniski notiekošu procesu, piemēram, nolietošanās, nosēšanās, korozijas, vibrācijas, pelējuma, sēnīšu vai baktēriju iedarbības rezultātā bojātu objektu (objektu daļu), vai</w:t>
            </w:r>
          </w:p>
        </w:tc>
        <w:tc>
          <w:tcPr>
            <w:tcW w:w="119" w:type="pct"/>
          </w:tcPr>
          <w:p w14:paraId="353FCC18" w14:textId="77777777" w:rsidR="00241BD9" w:rsidRPr="005C2884" w:rsidRDefault="00241BD9" w:rsidP="00F712FC">
            <w:pPr>
              <w:spacing w:after="200" w:line="276" w:lineRule="auto"/>
              <w:jc w:val="both"/>
              <w:rPr>
                <w:rFonts w:eastAsia="Arial" w:cs="Arial"/>
                <w:i/>
                <w:sz w:val="18"/>
                <w:szCs w:val="18"/>
              </w:rPr>
            </w:pPr>
          </w:p>
        </w:tc>
      </w:tr>
      <w:tr w:rsidR="00241BD9" w:rsidRPr="005C2884" w14:paraId="3935F5A1" w14:textId="77777777" w:rsidTr="00F712FC">
        <w:tc>
          <w:tcPr>
            <w:tcW w:w="410" w:type="pct"/>
          </w:tcPr>
          <w:p w14:paraId="7CB54163"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4.17.2.</w:t>
            </w:r>
          </w:p>
        </w:tc>
        <w:tc>
          <w:tcPr>
            <w:tcW w:w="4471" w:type="pct"/>
          </w:tcPr>
          <w:p w14:paraId="509A6A2D"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rPr>
              <w:t xml:space="preserve">nekvalitatīvi projektētu, uzbūvētu, rekonstruētu, remontētu objektu </w:t>
            </w:r>
            <w:r w:rsidRPr="005C2884">
              <w:rPr>
                <w:rFonts w:eastAsia="Arial" w:cs="Arial"/>
                <w:sz w:val="18"/>
                <w:szCs w:val="18"/>
                <w:lang w:eastAsia="zh-CN"/>
              </w:rPr>
              <w:t xml:space="preserve">(objektu daļu) </w:t>
            </w:r>
            <w:r w:rsidRPr="005C2884">
              <w:rPr>
                <w:rFonts w:eastAsia="Arial" w:cs="Arial"/>
                <w:sz w:val="18"/>
                <w:szCs w:val="18"/>
              </w:rPr>
              <w:t xml:space="preserve">vai objektu </w:t>
            </w:r>
            <w:r w:rsidRPr="005C2884">
              <w:rPr>
                <w:rFonts w:eastAsia="Arial" w:cs="Arial"/>
                <w:sz w:val="18"/>
                <w:szCs w:val="18"/>
                <w:lang w:eastAsia="zh-CN"/>
              </w:rPr>
              <w:t>(objektu daļu)</w:t>
            </w:r>
            <w:r w:rsidRPr="005C2884">
              <w:rPr>
                <w:rFonts w:eastAsia="Arial" w:cs="Arial"/>
                <w:sz w:val="18"/>
                <w:szCs w:val="18"/>
              </w:rPr>
              <w:t xml:space="preserve">, kuru būvniecībā ir izmatoti nekvalitatīvi vai neatbilstoši materiāli, </w:t>
            </w:r>
            <w:r w:rsidRPr="005C2884">
              <w:rPr>
                <w:rFonts w:eastAsia="Arial" w:cs="Arial"/>
                <w:sz w:val="18"/>
                <w:szCs w:val="18"/>
                <w:lang w:eastAsia="zh-CN"/>
              </w:rPr>
              <w:t>ekspluatācijas cēloniski izraisītu 4. punktā norādīto risku iedarbību uz apdrošināšanas objektiem.</w:t>
            </w:r>
          </w:p>
        </w:tc>
        <w:tc>
          <w:tcPr>
            <w:tcW w:w="119" w:type="pct"/>
          </w:tcPr>
          <w:p w14:paraId="4EE819E3" w14:textId="77777777" w:rsidR="00241BD9" w:rsidRPr="005C2884" w:rsidRDefault="00241BD9" w:rsidP="00F712FC">
            <w:pPr>
              <w:spacing w:after="200" w:line="276" w:lineRule="auto"/>
              <w:jc w:val="both"/>
              <w:rPr>
                <w:rFonts w:eastAsia="Arial" w:cs="Arial"/>
                <w:i/>
                <w:sz w:val="18"/>
                <w:szCs w:val="18"/>
              </w:rPr>
            </w:pPr>
          </w:p>
        </w:tc>
      </w:tr>
      <w:tr w:rsidR="00241BD9" w:rsidRPr="005C2884" w14:paraId="2C738AA9" w14:textId="77777777" w:rsidTr="00F712FC">
        <w:tc>
          <w:tcPr>
            <w:tcW w:w="410" w:type="pct"/>
          </w:tcPr>
          <w:p w14:paraId="661CE4FF" w14:textId="77777777" w:rsidR="00241BD9" w:rsidRPr="005C2884" w:rsidRDefault="00241BD9" w:rsidP="00F712FC">
            <w:pPr>
              <w:spacing w:line="276" w:lineRule="auto"/>
              <w:jc w:val="center"/>
              <w:rPr>
                <w:rFonts w:eastAsia="Arial" w:cs="Arial"/>
                <w:sz w:val="18"/>
                <w:szCs w:val="18"/>
              </w:rPr>
            </w:pPr>
          </w:p>
          <w:p w14:paraId="7D89FDB9"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4.18.</w:t>
            </w:r>
          </w:p>
          <w:p w14:paraId="31D7A269" w14:textId="77777777" w:rsidR="00241BD9" w:rsidRPr="005C2884" w:rsidRDefault="00241BD9" w:rsidP="00F712FC">
            <w:pPr>
              <w:spacing w:line="276" w:lineRule="auto"/>
              <w:jc w:val="center"/>
              <w:rPr>
                <w:rFonts w:eastAsia="Arial" w:cs="Arial"/>
                <w:sz w:val="18"/>
                <w:szCs w:val="18"/>
              </w:rPr>
            </w:pPr>
          </w:p>
          <w:p w14:paraId="387E67E4" w14:textId="77777777" w:rsidR="00241BD9" w:rsidRPr="005C2884" w:rsidRDefault="00241BD9" w:rsidP="00F712FC">
            <w:pPr>
              <w:spacing w:line="276" w:lineRule="auto"/>
              <w:jc w:val="center"/>
              <w:rPr>
                <w:rFonts w:eastAsia="Arial" w:cs="Arial"/>
                <w:sz w:val="18"/>
                <w:szCs w:val="18"/>
              </w:rPr>
            </w:pPr>
          </w:p>
          <w:p w14:paraId="6464762F"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4.19.</w:t>
            </w:r>
          </w:p>
          <w:p w14:paraId="7D16D98A" w14:textId="77777777" w:rsidR="00241BD9" w:rsidRPr="005C2884" w:rsidRDefault="00241BD9" w:rsidP="00F712FC">
            <w:pPr>
              <w:spacing w:line="276" w:lineRule="auto"/>
              <w:jc w:val="center"/>
              <w:rPr>
                <w:rFonts w:eastAsia="Arial" w:cs="Arial"/>
                <w:sz w:val="18"/>
                <w:szCs w:val="18"/>
              </w:rPr>
            </w:pPr>
          </w:p>
          <w:p w14:paraId="70A4759F" w14:textId="77777777" w:rsidR="00241BD9" w:rsidRPr="005C2884" w:rsidRDefault="00241BD9" w:rsidP="00F712FC">
            <w:pPr>
              <w:spacing w:line="276" w:lineRule="auto"/>
              <w:jc w:val="center"/>
              <w:rPr>
                <w:rFonts w:eastAsia="Arial" w:cs="Arial"/>
                <w:sz w:val="18"/>
                <w:szCs w:val="18"/>
              </w:rPr>
            </w:pPr>
          </w:p>
          <w:p w14:paraId="70414394" w14:textId="77777777" w:rsidR="00241BD9" w:rsidRPr="005C2884" w:rsidRDefault="00241BD9" w:rsidP="00F712FC">
            <w:pPr>
              <w:spacing w:line="276" w:lineRule="auto"/>
              <w:jc w:val="center"/>
              <w:rPr>
                <w:rFonts w:eastAsia="Arial" w:cs="Arial"/>
                <w:sz w:val="18"/>
                <w:szCs w:val="18"/>
              </w:rPr>
            </w:pPr>
          </w:p>
          <w:p w14:paraId="12CA777C"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4.20.</w:t>
            </w:r>
          </w:p>
          <w:p w14:paraId="7C56871E" w14:textId="77777777" w:rsidR="00241BD9" w:rsidRPr="005C2884" w:rsidRDefault="00241BD9" w:rsidP="00F712FC">
            <w:pPr>
              <w:spacing w:line="276" w:lineRule="auto"/>
              <w:jc w:val="center"/>
              <w:rPr>
                <w:rFonts w:eastAsia="Arial" w:cs="Arial"/>
                <w:sz w:val="18"/>
                <w:szCs w:val="18"/>
              </w:rPr>
            </w:pPr>
          </w:p>
          <w:p w14:paraId="1E8A7725"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4.20.1.</w:t>
            </w:r>
          </w:p>
          <w:p w14:paraId="410999FD" w14:textId="77777777" w:rsidR="00241BD9" w:rsidRPr="005C2884" w:rsidRDefault="00241BD9" w:rsidP="00F712FC">
            <w:pPr>
              <w:spacing w:line="276" w:lineRule="auto"/>
              <w:jc w:val="center"/>
              <w:rPr>
                <w:rFonts w:eastAsia="Arial" w:cs="Arial"/>
                <w:sz w:val="18"/>
                <w:szCs w:val="18"/>
              </w:rPr>
            </w:pPr>
          </w:p>
          <w:p w14:paraId="286546B1" w14:textId="77777777" w:rsidR="00241BD9" w:rsidRPr="005C2884" w:rsidRDefault="00241BD9" w:rsidP="00F712FC">
            <w:pPr>
              <w:spacing w:line="276" w:lineRule="auto"/>
              <w:jc w:val="center"/>
              <w:rPr>
                <w:rFonts w:eastAsia="Arial" w:cs="Arial"/>
                <w:sz w:val="18"/>
                <w:szCs w:val="18"/>
              </w:rPr>
            </w:pPr>
          </w:p>
          <w:p w14:paraId="5055CE97"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4.20.2.</w:t>
            </w:r>
          </w:p>
          <w:p w14:paraId="06E34BFA" w14:textId="77777777" w:rsidR="00241BD9" w:rsidRPr="005C2884" w:rsidRDefault="00241BD9" w:rsidP="00F712FC">
            <w:pPr>
              <w:spacing w:line="276" w:lineRule="auto"/>
              <w:jc w:val="center"/>
              <w:rPr>
                <w:rFonts w:eastAsia="Arial" w:cs="Arial"/>
                <w:sz w:val="18"/>
                <w:szCs w:val="18"/>
              </w:rPr>
            </w:pPr>
          </w:p>
          <w:p w14:paraId="58E6767B"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4.20.3.</w:t>
            </w:r>
          </w:p>
          <w:p w14:paraId="1C5C4386"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4.20.4.</w:t>
            </w:r>
          </w:p>
          <w:p w14:paraId="1A97224E" w14:textId="77777777" w:rsidR="00241BD9" w:rsidRPr="005C2884" w:rsidRDefault="00241BD9" w:rsidP="00F712FC">
            <w:pPr>
              <w:spacing w:line="276" w:lineRule="auto"/>
              <w:jc w:val="center"/>
              <w:rPr>
                <w:rFonts w:eastAsia="Arial" w:cs="Arial"/>
                <w:sz w:val="18"/>
                <w:szCs w:val="18"/>
              </w:rPr>
            </w:pPr>
          </w:p>
          <w:p w14:paraId="330BCDC6" w14:textId="77777777" w:rsidR="00241BD9" w:rsidRPr="005C2884" w:rsidRDefault="00241BD9" w:rsidP="00F712FC">
            <w:pPr>
              <w:spacing w:line="276" w:lineRule="auto"/>
              <w:jc w:val="center"/>
              <w:rPr>
                <w:rFonts w:eastAsia="Arial" w:cs="Arial"/>
                <w:sz w:val="18"/>
                <w:szCs w:val="18"/>
              </w:rPr>
            </w:pPr>
          </w:p>
          <w:p w14:paraId="66E1EAB0" w14:textId="77777777" w:rsidR="00241BD9" w:rsidRPr="005C2884" w:rsidRDefault="00241BD9" w:rsidP="00F712FC">
            <w:pPr>
              <w:spacing w:line="276" w:lineRule="auto"/>
              <w:jc w:val="center"/>
              <w:rPr>
                <w:rFonts w:eastAsia="Arial" w:cs="Arial"/>
                <w:sz w:val="18"/>
                <w:szCs w:val="18"/>
              </w:rPr>
            </w:pPr>
          </w:p>
          <w:p w14:paraId="03F53FE7" w14:textId="77777777" w:rsidR="00241BD9" w:rsidRPr="005C2884" w:rsidRDefault="00241BD9" w:rsidP="00F712FC">
            <w:pPr>
              <w:spacing w:line="276" w:lineRule="auto"/>
              <w:jc w:val="center"/>
              <w:rPr>
                <w:rFonts w:eastAsia="Arial" w:cs="Arial"/>
                <w:sz w:val="18"/>
                <w:szCs w:val="18"/>
              </w:rPr>
            </w:pPr>
          </w:p>
          <w:p w14:paraId="72A12BD9" w14:textId="77777777" w:rsidR="00241BD9" w:rsidRPr="005C2884" w:rsidRDefault="00241BD9" w:rsidP="00F712FC">
            <w:pPr>
              <w:spacing w:line="276" w:lineRule="auto"/>
              <w:jc w:val="center"/>
              <w:rPr>
                <w:rFonts w:eastAsia="Arial" w:cs="Arial"/>
                <w:sz w:val="18"/>
                <w:szCs w:val="18"/>
              </w:rPr>
            </w:pPr>
          </w:p>
          <w:p w14:paraId="2C1C271C"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4.21.</w:t>
            </w:r>
          </w:p>
          <w:p w14:paraId="4F1519A3" w14:textId="77777777" w:rsidR="00241BD9" w:rsidRPr="005C2884" w:rsidRDefault="00241BD9" w:rsidP="00F712FC">
            <w:pPr>
              <w:spacing w:line="276" w:lineRule="auto"/>
              <w:jc w:val="center"/>
              <w:rPr>
                <w:rFonts w:eastAsia="Arial" w:cs="Arial"/>
                <w:sz w:val="18"/>
                <w:szCs w:val="18"/>
              </w:rPr>
            </w:pPr>
          </w:p>
          <w:p w14:paraId="77857274" w14:textId="77777777" w:rsidR="00241BD9" w:rsidRPr="005C2884" w:rsidRDefault="00241BD9" w:rsidP="00F712FC">
            <w:pPr>
              <w:spacing w:line="276" w:lineRule="auto"/>
              <w:jc w:val="center"/>
              <w:rPr>
                <w:rFonts w:eastAsia="Arial" w:cs="Arial"/>
                <w:sz w:val="18"/>
                <w:szCs w:val="18"/>
              </w:rPr>
            </w:pPr>
          </w:p>
          <w:p w14:paraId="5584D017" w14:textId="77777777" w:rsidR="00241BD9" w:rsidRPr="005C2884" w:rsidRDefault="00241BD9" w:rsidP="00F712FC">
            <w:pPr>
              <w:spacing w:line="276" w:lineRule="auto"/>
              <w:jc w:val="center"/>
              <w:rPr>
                <w:rFonts w:eastAsia="Arial" w:cs="Arial"/>
                <w:sz w:val="18"/>
                <w:szCs w:val="18"/>
              </w:rPr>
            </w:pPr>
          </w:p>
          <w:p w14:paraId="632FD73F" w14:textId="77777777" w:rsidR="00241BD9" w:rsidRPr="005C2884" w:rsidRDefault="00241BD9" w:rsidP="00F712FC">
            <w:pPr>
              <w:spacing w:line="276" w:lineRule="auto"/>
              <w:jc w:val="center"/>
              <w:rPr>
                <w:rFonts w:eastAsia="Arial" w:cs="Arial"/>
                <w:sz w:val="18"/>
                <w:szCs w:val="18"/>
              </w:rPr>
            </w:pPr>
          </w:p>
          <w:p w14:paraId="3D61845F" w14:textId="77777777" w:rsidR="00241BD9" w:rsidRPr="005C2884" w:rsidRDefault="00241BD9" w:rsidP="00F712FC">
            <w:pPr>
              <w:spacing w:line="276" w:lineRule="auto"/>
              <w:jc w:val="center"/>
              <w:rPr>
                <w:rFonts w:eastAsia="Arial" w:cs="Arial"/>
                <w:sz w:val="18"/>
                <w:szCs w:val="18"/>
              </w:rPr>
            </w:pPr>
          </w:p>
          <w:p w14:paraId="61200D59" w14:textId="77777777" w:rsidR="00241BD9" w:rsidRPr="005C2884" w:rsidRDefault="00241BD9" w:rsidP="00F712FC">
            <w:pPr>
              <w:spacing w:line="276" w:lineRule="auto"/>
              <w:jc w:val="center"/>
              <w:rPr>
                <w:rFonts w:eastAsia="Arial" w:cs="Arial"/>
                <w:sz w:val="18"/>
                <w:szCs w:val="18"/>
              </w:rPr>
            </w:pPr>
          </w:p>
          <w:p w14:paraId="25ACEB32" w14:textId="77777777" w:rsidR="00241BD9" w:rsidRPr="005C2884" w:rsidRDefault="00241BD9" w:rsidP="00F712FC">
            <w:pPr>
              <w:spacing w:line="276" w:lineRule="auto"/>
              <w:jc w:val="center"/>
              <w:rPr>
                <w:rFonts w:eastAsia="Arial" w:cs="Arial"/>
                <w:sz w:val="18"/>
                <w:szCs w:val="18"/>
              </w:rPr>
            </w:pPr>
          </w:p>
          <w:p w14:paraId="75C7AB29" w14:textId="77777777" w:rsidR="00241BD9" w:rsidRPr="005C2884" w:rsidRDefault="00241BD9" w:rsidP="00F712FC">
            <w:pPr>
              <w:spacing w:line="276" w:lineRule="auto"/>
              <w:jc w:val="center"/>
              <w:rPr>
                <w:rFonts w:eastAsia="Arial" w:cs="Arial"/>
                <w:sz w:val="18"/>
                <w:szCs w:val="18"/>
              </w:rPr>
            </w:pPr>
          </w:p>
          <w:p w14:paraId="07FE4779" w14:textId="77777777" w:rsidR="00241BD9" w:rsidRPr="005C2884" w:rsidRDefault="00241BD9" w:rsidP="00F712FC">
            <w:pPr>
              <w:spacing w:line="276" w:lineRule="auto"/>
              <w:jc w:val="center"/>
              <w:rPr>
                <w:rFonts w:eastAsia="Arial" w:cs="Arial"/>
                <w:sz w:val="18"/>
                <w:szCs w:val="18"/>
              </w:rPr>
            </w:pPr>
            <w:r w:rsidRPr="005C2884">
              <w:rPr>
                <w:rFonts w:eastAsia="Arial" w:cs="Arial"/>
                <w:sz w:val="18"/>
                <w:szCs w:val="18"/>
              </w:rPr>
              <w:t>4.22</w:t>
            </w:r>
          </w:p>
        </w:tc>
        <w:tc>
          <w:tcPr>
            <w:tcW w:w="4471" w:type="pct"/>
          </w:tcPr>
          <w:p w14:paraId="41089EEF" w14:textId="77777777" w:rsidR="00241BD9" w:rsidRPr="005C2884" w:rsidRDefault="00241BD9" w:rsidP="00F712FC">
            <w:pPr>
              <w:suppressAutoHyphens/>
              <w:autoSpaceDE w:val="0"/>
              <w:spacing w:line="276" w:lineRule="auto"/>
              <w:jc w:val="both"/>
              <w:rPr>
                <w:rFonts w:eastAsia="Arial" w:cs="Arial"/>
                <w:sz w:val="18"/>
                <w:szCs w:val="18"/>
                <w:lang w:eastAsia="zh-CN"/>
              </w:rPr>
            </w:pPr>
          </w:p>
          <w:p w14:paraId="02C61696"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Apdrošinātājs apņemas kompensēt zaudējumus, kas apdrošinātajam objektam nodarīti pēkšņi un neparedzēti cauruļvadu, to ierīču un aprīkojuma sala iedarbības avārijas gadījumā.</w:t>
            </w:r>
          </w:p>
          <w:p w14:paraId="045D3138" w14:textId="77777777" w:rsidR="00241BD9" w:rsidRPr="005C2884" w:rsidRDefault="00241BD9" w:rsidP="00F712FC">
            <w:pPr>
              <w:suppressAutoHyphens/>
              <w:autoSpaceDE w:val="0"/>
              <w:spacing w:line="276" w:lineRule="auto"/>
              <w:jc w:val="both"/>
              <w:rPr>
                <w:rFonts w:eastAsia="Arial" w:cs="Arial"/>
                <w:sz w:val="18"/>
                <w:szCs w:val="18"/>
                <w:lang w:eastAsia="zh-CN"/>
              </w:rPr>
            </w:pPr>
          </w:p>
          <w:p w14:paraId="0635D1B8"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Apdrošināšanas segumā iekļauts risks: zādzība bez ielaušanās, piesavināšanās, vai zaudējums citas noziedzīgas darbības rezultātā, izņemot zādzību ar ielaušanos, laupīšanu un vandālismu ar limitu        EUR 5 000.</w:t>
            </w:r>
          </w:p>
          <w:p w14:paraId="59BB35EE" w14:textId="77777777" w:rsidR="00241BD9" w:rsidRPr="005C2884" w:rsidRDefault="00241BD9" w:rsidP="00F712FC">
            <w:pPr>
              <w:suppressAutoHyphens/>
              <w:autoSpaceDE w:val="0"/>
              <w:spacing w:line="276" w:lineRule="auto"/>
              <w:jc w:val="both"/>
              <w:rPr>
                <w:rFonts w:eastAsia="Arial" w:cs="Arial"/>
                <w:sz w:val="18"/>
                <w:szCs w:val="18"/>
                <w:lang w:eastAsia="zh-CN"/>
              </w:rPr>
            </w:pPr>
          </w:p>
          <w:p w14:paraId="7E10E1F2"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 xml:space="preserve">Visu risku segums tiek paplašināts un apdrošināšanas aizardzībā tiek iekļauts nosacījums - Neatkarīga ekspertu izmaksas: </w:t>
            </w:r>
          </w:p>
          <w:p w14:paraId="68B90F33"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 xml:space="preserve">Apdrošināšanas segums tiek paplašināts ar Apdrošinātā veiktiem pamatotiem izdevumiem par ekspertu veiktajām ekspertīzēm, saistībā ar zaudējumu cēloņa un apjoma noskaidrošanu, ar nosacījumu, ka Apdrošinātā izvēlētais eksperts ir saskaņots ar Apdrošinātāju; </w:t>
            </w:r>
          </w:p>
          <w:p w14:paraId="1E891556"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 xml:space="preserve">Pieaicinātais eksperts nedrīkst būt saistīts ar Apdrošinājuma ņēmēju, Apdrošināto un Apdrošinātāju (komersanta īpašnieks, darbinieks u.tml.); </w:t>
            </w:r>
          </w:p>
          <w:p w14:paraId="0C0436BF"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 xml:space="preserve">Maksimālais Apdrošinātāja atbildības limits par doto paplašinājumu ir EUR 5000.00; </w:t>
            </w:r>
          </w:p>
          <w:p w14:paraId="18B50133"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Atbildības limits turpmākajam apdrošināšanas periodam tiek samazināts par izmaksātās apdrošināšanas atlīdzības apmēru par doto paplašinājumu; Pēc apdrošināšanas atlīdzības izmaksas polisē norādītās apdrošinājuma summas netiek samazinātas par izmaksātās atlīdzības lielumu. Segums attiecināms uz tehniskās specifikācijas punktu 1. ĪPAŠUMA APDROŠINĀŠANA (ēkas, būves, kustamā manta, izņemot transporta līdzekļus).</w:t>
            </w:r>
          </w:p>
          <w:p w14:paraId="72FBC3C3" w14:textId="77777777" w:rsidR="00241BD9" w:rsidRPr="005C2884" w:rsidRDefault="00241BD9" w:rsidP="00F712FC">
            <w:pPr>
              <w:suppressAutoHyphens/>
              <w:autoSpaceDE w:val="0"/>
              <w:spacing w:line="276" w:lineRule="auto"/>
              <w:jc w:val="both"/>
              <w:rPr>
                <w:rFonts w:eastAsia="Arial" w:cs="Arial"/>
                <w:sz w:val="18"/>
                <w:szCs w:val="18"/>
                <w:lang w:eastAsia="zh-CN"/>
              </w:rPr>
            </w:pPr>
          </w:p>
          <w:p w14:paraId="3F91FF8F"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Visu risku segums tiek paplašināts un apdrošināšanas aizardzībā tiek iekļauts nosacījums - Atlīdzības neieturot pašrisku: Ja saskaņā ar spēkā esošajiem tiesību aktiem Apdrošinātājam ir tiesības prasīt zaudējumu atlīdzību pilnā apmērā no Latvijas Transportlīdzekļu Apdrošināšanas biroja vai no Latvijas Republikā reģistrētas apdrošināšanas sabiedrības, kas apdrošinājusi ceļu satiksmes negadījumā zaudējumu nodarījušā transportlīdzekļa īpašnieka civiltiesisko atbildību, tad Apdrošinātājs, veicot apdrošināšanas atlīdzības izmaksu, neietur polisē norādīto pašrisku par apdrošināto risku. Segums attiecināms uz tehniskās specifikācijas punktu 1. ĪPAŠUMA APDROŠINĀŠANA (ēkas, būves, kustamā manta, izņemot transporta līdzekļus).</w:t>
            </w:r>
          </w:p>
          <w:p w14:paraId="5F05E431" w14:textId="77777777" w:rsidR="00241BD9" w:rsidRPr="005C2884" w:rsidRDefault="00241BD9" w:rsidP="00F712FC">
            <w:pPr>
              <w:suppressAutoHyphens/>
              <w:autoSpaceDE w:val="0"/>
              <w:spacing w:line="276" w:lineRule="auto"/>
              <w:jc w:val="both"/>
              <w:rPr>
                <w:rFonts w:eastAsia="Arial" w:cs="Arial"/>
                <w:sz w:val="18"/>
                <w:szCs w:val="18"/>
                <w:lang w:eastAsia="zh-CN"/>
              </w:rPr>
            </w:pPr>
          </w:p>
          <w:p w14:paraId="00102471"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Iekārtu salūšanas risks - Apdrošināšanas sabiedrība atlīdzina arī zaudējumus vai bojājumus mašīnām un iekārtām to iekšējās salūšanas rezultātā, iekļaujot centrberzes spēku, motora mehānisko pārpūli, mehānisko salūšanu, darbinieku kļūdas, nepareizas apiešanās rezultātā u.tml.</w:t>
            </w:r>
          </w:p>
          <w:p w14:paraId="0652A11A" w14:textId="77777777" w:rsidR="00241BD9" w:rsidRPr="005C2884" w:rsidRDefault="00241BD9" w:rsidP="00F712FC">
            <w:pPr>
              <w:suppressAutoHyphens/>
              <w:autoSpaceDE w:val="0"/>
              <w:spacing w:line="276" w:lineRule="auto"/>
              <w:jc w:val="both"/>
              <w:rPr>
                <w:rFonts w:eastAsia="Arial" w:cs="Arial"/>
                <w:sz w:val="18"/>
                <w:szCs w:val="18"/>
                <w:lang w:eastAsia="zh-CN"/>
              </w:rPr>
            </w:pPr>
            <w:r w:rsidRPr="005C2884">
              <w:rPr>
                <w:rFonts w:eastAsia="Arial" w:cs="Arial"/>
                <w:sz w:val="18"/>
                <w:szCs w:val="18"/>
                <w:lang w:eastAsia="zh-CN"/>
              </w:rPr>
              <w:t>Limits EUR 250 000 apmērā</w:t>
            </w:r>
          </w:p>
          <w:p w14:paraId="2AFB0FB4" w14:textId="77777777" w:rsidR="00241BD9" w:rsidRPr="005C2884" w:rsidRDefault="00241BD9" w:rsidP="00F712FC">
            <w:pPr>
              <w:suppressAutoHyphens/>
              <w:autoSpaceDE w:val="0"/>
              <w:spacing w:line="276" w:lineRule="auto"/>
              <w:jc w:val="both"/>
              <w:rPr>
                <w:rFonts w:eastAsia="Arial" w:cs="Arial"/>
                <w:sz w:val="18"/>
                <w:szCs w:val="18"/>
                <w:lang w:eastAsia="zh-CN"/>
              </w:rPr>
            </w:pPr>
          </w:p>
        </w:tc>
        <w:tc>
          <w:tcPr>
            <w:tcW w:w="119" w:type="pct"/>
          </w:tcPr>
          <w:p w14:paraId="7C9648CB" w14:textId="77777777" w:rsidR="00241BD9" w:rsidRPr="005C2884" w:rsidRDefault="00241BD9" w:rsidP="00F712FC">
            <w:pPr>
              <w:spacing w:after="200" w:line="276" w:lineRule="auto"/>
              <w:jc w:val="both"/>
              <w:rPr>
                <w:rFonts w:eastAsia="Arial" w:cs="Arial"/>
                <w:i/>
                <w:sz w:val="18"/>
                <w:szCs w:val="18"/>
              </w:rPr>
            </w:pPr>
          </w:p>
        </w:tc>
      </w:tr>
      <w:tr w:rsidR="00241BD9" w:rsidRPr="005C2884" w14:paraId="787ADB87" w14:textId="77777777" w:rsidTr="00F712FC">
        <w:tc>
          <w:tcPr>
            <w:tcW w:w="410" w:type="pct"/>
          </w:tcPr>
          <w:p w14:paraId="679B330F"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5.</w:t>
            </w:r>
          </w:p>
        </w:tc>
        <w:tc>
          <w:tcPr>
            <w:tcW w:w="4471" w:type="pct"/>
          </w:tcPr>
          <w:p w14:paraId="4802B318" w14:textId="77777777" w:rsidR="00241BD9" w:rsidRPr="005C2884" w:rsidRDefault="00241BD9" w:rsidP="00F712FC">
            <w:pPr>
              <w:widowControl w:val="0"/>
              <w:tabs>
                <w:tab w:val="num" w:pos="993"/>
              </w:tabs>
              <w:adjustRightInd w:val="0"/>
              <w:spacing w:after="200" w:line="276" w:lineRule="auto"/>
              <w:jc w:val="both"/>
              <w:textAlignment w:val="baseline"/>
              <w:rPr>
                <w:rFonts w:eastAsia="Arial" w:cs="Arial"/>
                <w:b/>
                <w:sz w:val="18"/>
                <w:szCs w:val="18"/>
              </w:rPr>
            </w:pPr>
            <w:r w:rsidRPr="005C2884">
              <w:rPr>
                <w:rFonts w:eastAsia="Arial" w:cs="Arial"/>
                <w:b/>
                <w:sz w:val="18"/>
                <w:szCs w:val="18"/>
              </w:rPr>
              <w:t>Pašrisks katram apdrošināšanas gadījumam:</w:t>
            </w:r>
          </w:p>
        </w:tc>
        <w:tc>
          <w:tcPr>
            <w:tcW w:w="119" w:type="pct"/>
          </w:tcPr>
          <w:p w14:paraId="2A9D8818" w14:textId="77777777" w:rsidR="00241BD9" w:rsidRPr="005C2884" w:rsidRDefault="00241BD9" w:rsidP="00F712FC">
            <w:pPr>
              <w:spacing w:after="200" w:line="276" w:lineRule="auto"/>
              <w:jc w:val="both"/>
              <w:rPr>
                <w:rFonts w:eastAsia="Arial" w:cs="Arial"/>
                <w:b/>
                <w:i/>
                <w:sz w:val="18"/>
                <w:szCs w:val="18"/>
              </w:rPr>
            </w:pPr>
          </w:p>
        </w:tc>
      </w:tr>
      <w:tr w:rsidR="00241BD9" w:rsidRPr="005C2884" w14:paraId="603A4BE2" w14:textId="77777777" w:rsidTr="00F712FC">
        <w:tc>
          <w:tcPr>
            <w:tcW w:w="410" w:type="pct"/>
          </w:tcPr>
          <w:p w14:paraId="1C44CFF1"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5.1.</w:t>
            </w:r>
          </w:p>
          <w:p w14:paraId="16EA1ACF"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5.1.1.</w:t>
            </w:r>
          </w:p>
          <w:p w14:paraId="2E132AE7"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5.1.2.</w:t>
            </w:r>
          </w:p>
        </w:tc>
        <w:tc>
          <w:tcPr>
            <w:tcW w:w="4471" w:type="pct"/>
          </w:tcPr>
          <w:p w14:paraId="3061A022"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Pr>
                <w:rFonts w:eastAsia="Arial" w:cs="Arial"/>
                <w:sz w:val="18"/>
                <w:szCs w:val="18"/>
                <w:lang w:eastAsia="zh-CN"/>
              </w:rPr>
              <w:t>Pašriski:</w:t>
            </w:r>
          </w:p>
          <w:p w14:paraId="2C490561"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EUR 350</w:t>
            </w:r>
            <w:r w:rsidRPr="00300CEC">
              <w:rPr>
                <w:rFonts w:eastAsia="Arial" w:cs="Arial"/>
                <w:sz w:val="18"/>
                <w:szCs w:val="18"/>
                <w:lang w:eastAsia="zh-CN"/>
              </w:rPr>
              <w:t xml:space="preserve"> – par apdrošināšanas objekt</w:t>
            </w:r>
            <w:r>
              <w:rPr>
                <w:rFonts w:eastAsia="Arial" w:cs="Arial"/>
                <w:sz w:val="18"/>
                <w:szCs w:val="18"/>
                <w:lang w:eastAsia="zh-CN"/>
              </w:rPr>
              <w:t>iem, izņemot 5.1.2. norādīto apdrošināšanas objektu</w:t>
            </w:r>
            <w:r w:rsidRPr="005C2884">
              <w:rPr>
                <w:rFonts w:eastAsia="Arial" w:cs="Arial"/>
                <w:sz w:val="18"/>
                <w:szCs w:val="18"/>
                <w:lang w:eastAsia="zh-CN"/>
              </w:rPr>
              <w:t xml:space="preserve">; </w:t>
            </w:r>
          </w:p>
          <w:p w14:paraId="08602997"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EUR 1 000 </w:t>
            </w:r>
            <w:r>
              <w:rPr>
                <w:rFonts w:eastAsia="Arial" w:cs="Arial"/>
                <w:sz w:val="18"/>
                <w:szCs w:val="18"/>
                <w:lang w:eastAsia="zh-CN"/>
              </w:rPr>
              <w:t xml:space="preserve">un attiecībā uz uguns risku 10% no zaudējuma apmēra </w:t>
            </w:r>
            <w:r w:rsidRPr="005C2884">
              <w:rPr>
                <w:rFonts w:eastAsia="Arial" w:cs="Arial"/>
                <w:sz w:val="18"/>
                <w:szCs w:val="18"/>
                <w:lang w:eastAsia="zh-CN"/>
              </w:rPr>
              <w:t>–</w:t>
            </w:r>
            <w:r>
              <w:rPr>
                <w:rFonts w:eastAsia="Arial" w:cs="Arial"/>
                <w:sz w:val="18"/>
                <w:szCs w:val="18"/>
                <w:lang w:eastAsia="zh-CN"/>
              </w:rPr>
              <w:t xml:space="preserve"> </w:t>
            </w:r>
            <w:r w:rsidRPr="005C2884">
              <w:rPr>
                <w:rFonts w:eastAsia="Arial" w:cs="Arial"/>
                <w:sz w:val="18"/>
                <w:szCs w:val="18"/>
                <w:lang w:eastAsia="zh-CN"/>
              </w:rPr>
              <w:t>attiecībā uz apdrošināmo objektu - Ūdeņraža uzpildes stacija, kas atrodas adresē: Vienības gatvē 6 Rīgā, LV- 1004 Latvija</w:t>
            </w:r>
          </w:p>
        </w:tc>
        <w:tc>
          <w:tcPr>
            <w:tcW w:w="119" w:type="pct"/>
          </w:tcPr>
          <w:p w14:paraId="6C28470A" w14:textId="77777777" w:rsidR="00241BD9" w:rsidRPr="005C2884" w:rsidRDefault="00241BD9" w:rsidP="00F712FC">
            <w:pPr>
              <w:spacing w:after="200" w:line="276" w:lineRule="auto"/>
              <w:jc w:val="both"/>
              <w:rPr>
                <w:rFonts w:eastAsia="Arial" w:cs="Arial"/>
                <w:i/>
                <w:sz w:val="18"/>
                <w:szCs w:val="18"/>
              </w:rPr>
            </w:pPr>
          </w:p>
        </w:tc>
      </w:tr>
      <w:tr w:rsidR="00241BD9" w:rsidRPr="005C2884" w14:paraId="59DF98DA" w14:textId="77777777" w:rsidTr="00F712FC">
        <w:tc>
          <w:tcPr>
            <w:tcW w:w="410" w:type="pct"/>
          </w:tcPr>
          <w:p w14:paraId="377E03AE"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5.2.</w:t>
            </w:r>
          </w:p>
        </w:tc>
        <w:tc>
          <w:tcPr>
            <w:tcW w:w="4471" w:type="pct"/>
          </w:tcPr>
          <w:p w14:paraId="785FF73C"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0 eiro attiecībā uz apdrošināto objektu stiklojuma un/vai stikla konstrukciju bojājumu;</w:t>
            </w:r>
          </w:p>
        </w:tc>
        <w:tc>
          <w:tcPr>
            <w:tcW w:w="119" w:type="pct"/>
          </w:tcPr>
          <w:p w14:paraId="149CAE83" w14:textId="77777777" w:rsidR="00241BD9" w:rsidRPr="005C2884" w:rsidRDefault="00241BD9" w:rsidP="00F712FC">
            <w:pPr>
              <w:spacing w:after="200" w:line="276" w:lineRule="auto"/>
              <w:jc w:val="both"/>
              <w:rPr>
                <w:rFonts w:eastAsia="Arial" w:cs="Arial"/>
                <w:i/>
                <w:sz w:val="18"/>
                <w:szCs w:val="18"/>
              </w:rPr>
            </w:pPr>
          </w:p>
        </w:tc>
      </w:tr>
      <w:tr w:rsidR="00241BD9" w:rsidRPr="005C2884" w14:paraId="37065A58" w14:textId="77777777" w:rsidTr="00F712FC">
        <w:tc>
          <w:tcPr>
            <w:tcW w:w="410" w:type="pct"/>
          </w:tcPr>
          <w:p w14:paraId="71F7C50D"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5.3.</w:t>
            </w:r>
          </w:p>
        </w:tc>
        <w:tc>
          <w:tcPr>
            <w:tcW w:w="4471" w:type="pct"/>
          </w:tcPr>
          <w:p w14:paraId="494F661A"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EUR 50 - 3.1. punktā paredzētajam segumam ārpus Latvijas Republikas teritorijas;</w:t>
            </w:r>
          </w:p>
        </w:tc>
        <w:tc>
          <w:tcPr>
            <w:tcW w:w="119" w:type="pct"/>
          </w:tcPr>
          <w:p w14:paraId="060CE052" w14:textId="77777777" w:rsidR="00241BD9" w:rsidRPr="005C2884" w:rsidRDefault="00241BD9" w:rsidP="00F712FC">
            <w:pPr>
              <w:spacing w:after="200" w:line="276" w:lineRule="auto"/>
              <w:jc w:val="both"/>
              <w:rPr>
                <w:rFonts w:eastAsia="Arial" w:cs="Arial"/>
                <w:i/>
                <w:sz w:val="18"/>
                <w:szCs w:val="18"/>
              </w:rPr>
            </w:pPr>
          </w:p>
        </w:tc>
      </w:tr>
      <w:tr w:rsidR="00241BD9" w:rsidRPr="005C2884" w14:paraId="440BFFD3" w14:textId="77777777" w:rsidTr="00F712FC">
        <w:tc>
          <w:tcPr>
            <w:tcW w:w="410" w:type="pct"/>
          </w:tcPr>
          <w:p w14:paraId="09C4B06C"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5.4.</w:t>
            </w:r>
          </w:p>
        </w:tc>
        <w:tc>
          <w:tcPr>
            <w:tcW w:w="4471" w:type="pct"/>
          </w:tcPr>
          <w:p w14:paraId="59B0D987"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viena apdrošināšanas riska iedarbības rezultātā (piemēram, vētra) tiek bojāti vairāki apdrošinātie objekti, tad tiek piemērots viens polisē norādītais pašrisks.</w:t>
            </w:r>
          </w:p>
        </w:tc>
        <w:tc>
          <w:tcPr>
            <w:tcW w:w="119" w:type="pct"/>
          </w:tcPr>
          <w:p w14:paraId="7095F605" w14:textId="77777777" w:rsidR="00241BD9" w:rsidRPr="005C2884" w:rsidRDefault="00241BD9" w:rsidP="00F712FC">
            <w:pPr>
              <w:spacing w:after="200" w:line="276" w:lineRule="auto"/>
              <w:jc w:val="both"/>
              <w:rPr>
                <w:rFonts w:eastAsia="Arial" w:cs="Arial"/>
                <w:i/>
                <w:sz w:val="18"/>
                <w:szCs w:val="18"/>
              </w:rPr>
            </w:pPr>
          </w:p>
        </w:tc>
      </w:tr>
      <w:tr w:rsidR="00241BD9" w:rsidRPr="005C2884" w14:paraId="5A39CA13" w14:textId="77777777" w:rsidTr="00F712FC">
        <w:tc>
          <w:tcPr>
            <w:tcW w:w="410" w:type="pct"/>
          </w:tcPr>
          <w:p w14:paraId="1B620B9C"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6.</w:t>
            </w:r>
          </w:p>
        </w:tc>
        <w:tc>
          <w:tcPr>
            <w:tcW w:w="4471" w:type="pct"/>
          </w:tcPr>
          <w:p w14:paraId="1B641DDD" w14:textId="77777777" w:rsidR="00241BD9" w:rsidRPr="005C2884" w:rsidRDefault="00241BD9" w:rsidP="00F712FC">
            <w:pPr>
              <w:widowControl w:val="0"/>
              <w:tabs>
                <w:tab w:val="num" w:pos="993"/>
              </w:tabs>
              <w:adjustRightInd w:val="0"/>
              <w:spacing w:after="200" w:line="276" w:lineRule="auto"/>
              <w:textAlignment w:val="baseline"/>
              <w:rPr>
                <w:rFonts w:eastAsia="Arial" w:cs="Arial"/>
                <w:b/>
                <w:sz w:val="18"/>
                <w:szCs w:val="18"/>
              </w:rPr>
            </w:pPr>
            <w:r w:rsidRPr="005C2884">
              <w:rPr>
                <w:rFonts w:eastAsia="Arial" w:cs="Arial"/>
                <w:b/>
                <w:sz w:val="18"/>
                <w:szCs w:val="18"/>
              </w:rPr>
              <w:t>Apdrošināšanas atlīdzības aprēķināšanas principi un metodika:</w:t>
            </w:r>
          </w:p>
        </w:tc>
        <w:tc>
          <w:tcPr>
            <w:tcW w:w="119" w:type="pct"/>
          </w:tcPr>
          <w:p w14:paraId="6ADA77FB" w14:textId="77777777" w:rsidR="00241BD9" w:rsidRPr="005C2884" w:rsidRDefault="00241BD9" w:rsidP="00F712FC">
            <w:pPr>
              <w:spacing w:after="200" w:line="276" w:lineRule="auto"/>
              <w:rPr>
                <w:rFonts w:eastAsia="Arial" w:cs="Arial"/>
                <w:b/>
                <w:i/>
                <w:sz w:val="18"/>
                <w:szCs w:val="18"/>
              </w:rPr>
            </w:pPr>
          </w:p>
        </w:tc>
      </w:tr>
      <w:tr w:rsidR="00241BD9" w:rsidRPr="005C2884" w14:paraId="2382DCDD" w14:textId="77777777" w:rsidTr="00F712FC">
        <w:tc>
          <w:tcPr>
            <w:tcW w:w="410" w:type="pct"/>
          </w:tcPr>
          <w:p w14:paraId="760A1856"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6.1.</w:t>
            </w:r>
          </w:p>
        </w:tc>
        <w:tc>
          <w:tcPr>
            <w:tcW w:w="4471" w:type="pct"/>
          </w:tcPr>
          <w:p w14:paraId="7C54887C"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Nekustamajam īpašumam (pamatlīdzekļu veidi - ēkas; būves), apmaksājot atjaunošanas tāmi (ar PVN), kas pilnībā nodrošina analogas funkcionalitātes objekta atjaunošanu vai aizvietošanu, neņemot vērā zemapdrošināšanu un tehnisko nolietojumu.</w:t>
            </w:r>
          </w:p>
        </w:tc>
        <w:tc>
          <w:tcPr>
            <w:tcW w:w="119" w:type="pct"/>
          </w:tcPr>
          <w:p w14:paraId="5204F6F4" w14:textId="77777777" w:rsidR="00241BD9" w:rsidRPr="005C2884" w:rsidRDefault="00241BD9" w:rsidP="00F712FC">
            <w:pPr>
              <w:spacing w:after="200" w:line="276" w:lineRule="auto"/>
              <w:rPr>
                <w:rFonts w:eastAsia="Arial" w:cs="Arial"/>
                <w:i/>
                <w:sz w:val="18"/>
                <w:szCs w:val="18"/>
              </w:rPr>
            </w:pPr>
          </w:p>
        </w:tc>
      </w:tr>
      <w:tr w:rsidR="00241BD9" w:rsidRPr="005C2884" w14:paraId="1C8B2C6E" w14:textId="77777777" w:rsidTr="00F712FC">
        <w:tc>
          <w:tcPr>
            <w:tcW w:w="410" w:type="pct"/>
          </w:tcPr>
          <w:p w14:paraId="6E5FC52D"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6.2.</w:t>
            </w:r>
          </w:p>
        </w:tc>
        <w:tc>
          <w:tcPr>
            <w:tcW w:w="4471" w:type="pct"/>
          </w:tcPr>
          <w:p w14:paraId="6B1C46B5"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Kustamajam īpašumam bojājumu gadījumā atbilstoši remonta izdevumi (ar PVN), kas nepieciešami, lai bojāto mantu atjaunotu tādā stāvoklī, kādā tā bija pirms apdrošināšanas gadījuma, neņemot vērā zemapdrošināšanu un tehnisko nolietojumu;</w:t>
            </w:r>
          </w:p>
        </w:tc>
        <w:tc>
          <w:tcPr>
            <w:tcW w:w="119" w:type="pct"/>
          </w:tcPr>
          <w:p w14:paraId="36D1753B" w14:textId="77777777" w:rsidR="00241BD9" w:rsidRPr="005C2884" w:rsidRDefault="00241BD9" w:rsidP="00F712FC">
            <w:pPr>
              <w:spacing w:after="200" w:line="276" w:lineRule="auto"/>
              <w:rPr>
                <w:rFonts w:eastAsia="Arial" w:cs="Arial"/>
                <w:i/>
                <w:sz w:val="18"/>
                <w:szCs w:val="18"/>
              </w:rPr>
            </w:pPr>
          </w:p>
        </w:tc>
      </w:tr>
      <w:tr w:rsidR="00241BD9" w:rsidRPr="005C2884" w14:paraId="65F0E510" w14:textId="77777777" w:rsidTr="00F712FC">
        <w:tc>
          <w:tcPr>
            <w:tcW w:w="410" w:type="pct"/>
          </w:tcPr>
          <w:p w14:paraId="22344331"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6.3.</w:t>
            </w:r>
          </w:p>
        </w:tc>
        <w:tc>
          <w:tcPr>
            <w:tcW w:w="4471" w:type="pct"/>
          </w:tcPr>
          <w:p w14:paraId="4A02705D"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Kustamajam īpašumam bojāejas gadījumā, ja tā tehniskais nolietojums mazāks par 50%, izdevumi (ar PVN), kas nodrošina analoģisku tehnisko parametru un funkcionalitātes objekta aizvietošanu, neņemot vērā zemapdrošināšanu.</w:t>
            </w:r>
          </w:p>
        </w:tc>
        <w:tc>
          <w:tcPr>
            <w:tcW w:w="119" w:type="pct"/>
          </w:tcPr>
          <w:p w14:paraId="5A9D7726" w14:textId="77777777" w:rsidR="00241BD9" w:rsidRPr="005C2884" w:rsidRDefault="00241BD9" w:rsidP="00F712FC">
            <w:pPr>
              <w:spacing w:after="200" w:line="276" w:lineRule="auto"/>
              <w:rPr>
                <w:rFonts w:eastAsia="Arial" w:cs="Arial"/>
                <w:i/>
                <w:sz w:val="18"/>
                <w:szCs w:val="18"/>
              </w:rPr>
            </w:pPr>
          </w:p>
        </w:tc>
      </w:tr>
      <w:tr w:rsidR="00241BD9" w:rsidRPr="005C2884" w14:paraId="5C086E5E" w14:textId="77777777" w:rsidTr="00F712FC">
        <w:tc>
          <w:tcPr>
            <w:tcW w:w="410" w:type="pct"/>
          </w:tcPr>
          <w:p w14:paraId="6590851B"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6.4.</w:t>
            </w:r>
          </w:p>
        </w:tc>
        <w:tc>
          <w:tcPr>
            <w:tcW w:w="4471" w:type="pct"/>
          </w:tcPr>
          <w:p w14:paraId="744F4508"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Kustamajam īpašumam bojāejas gadījumā, ja tā tehniskais nolietojums pārsniedz 50%, lielākā vērtība no: atlikušās bilances vērtības vai analoģisku tehnisko parametru un funkcionalitātes objekta aizvietošanas izmaksām (ar PVN).</w:t>
            </w:r>
          </w:p>
        </w:tc>
        <w:tc>
          <w:tcPr>
            <w:tcW w:w="119" w:type="pct"/>
          </w:tcPr>
          <w:p w14:paraId="20183726" w14:textId="77777777" w:rsidR="00241BD9" w:rsidRPr="005C2884" w:rsidRDefault="00241BD9" w:rsidP="00F712FC">
            <w:pPr>
              <w:spacing w:after="200" w:line="276" w:lineRule="auto"/>
              <w:rPr>
                <w:rFonts w:eastAsia="Arial" w:cs="Arial"/>
                <w:i/>
                <w:sz w:val="18"/>
                <w:szCs w:val="18"/>
              </w:rPr>
            </w:pPr>
          </w:p>
        </w:tc>
      </w:tr>
      <w:tr w:rsidR="00241BD9" w:rsidRPr="005C2884" w14:paraId="1BDB258A" w14:textId="77777777" w:rsidTr="00F712FC">
        <w:tc>
          <w:tcPr>
            <w:tcW w:w="410" w:type="pct"/>
          </w:tcPr>
          <w:p w14:paraId="4A7EE384"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7.</w:t>
            </w:r>
          </w:p>
        </w:tc>
        <w:tc>
          <w:tcPr>
            <w:tcW w:w="4471" w:type="pct"/>
          </w:tcPr>
          <w:p w14:paraId="00EB10DB"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 xml:space="preserve">Apdrošināšanas objektu saraksta papildināšana </w:t>
            </w:r>
            <w:r w:rsidRPr="005C2884">
              <w:rPr>
                <w:rFonts w:eastAsia="Arial" w:cs="Arial"/>
                <w:sz w:val="18"/>
                <w:szCs w:val="18"/>
                <w:lang w:eastAsia="zh-CN"/>
              </w:rPr>
              <w:t xml:space="preserve">– apdrošināšanas līguma laikā segums automātiski </w:t>
            </w:r>
            <w:bookmarkStart w:id="1" w:name="_Hlk8374639"/>
            <w:r w:rsidRPr="005C2884">
              <w:rPr>
                <w:rFonts w:eastAsia="Arial" w:cs="Arial"/>
                <w:sz w:val="18"/>
                <w:szCs w:val="18"/>
                <w:lang w:eastAsia="zh-CN"/>
              </w:rPr>
              <w:t>tiks nodrošināts visiem apdrošināšanas ņēmēja pamatlīdzekļiem (izņemot 1.2. punktā nosauktos objektus), kas uzskaitīti Pasūtītāja grāmatvedības dokumentos.</w:t>
            </w:r>
            <w:bookmarkEnd w:id="1"/>
          </w:p>
          <w:p w14:paraId="54F24320"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bookmarkStart w:id="2" w:name="_Hlk8374649"/>
            <w:r w:rsidRPr="005C2884">
              <w:rPr>
                <w:rFonts w:eastAsia="Arial" w:cs="Arial"/>
                <w:sz w:val="18"/>
                <w:szCs w:val="18"/>
                <w:lang w:eastAsia="zh-CN"/>
              </w:rPr>
              <w:t>Apdrošināšanas segums stāsies spēkā no objekta iegādes vai nodošanas ekspluatācijā brīža.</w:t>
            </w:r>
            <w:bookmarkEnd w:id="2"/>
          </w:p>
        </w:tc>
        <w:tc>
          <w:tcPr>
            <w:tcW w:w="119" w:type="pct"/>
          </w:tcPr>
          <w:p w14:paraId="6D060AD9" w14:textId="77777777" w:rsidR="00241BD9" w:rsidRPr="005C2884" w:rsidRDefault="00241BD9" w:rsidP="00F712FC">
            <w:pPr>
              <w:spacing w:after="200" w:line="276" w:lineRule="auto"/>
              <w:rPr>
                <w:rFonts w:eastAsia="Arial" w:cs="Arial"/>
                <w:i/>
                <w:sz w:val="18"/>
                <w:szCs w:val="18"/>
              </w:rPr>
            </w:pPr>
          </w:p>
        </w:tc>
      </w:tr>
      <w:tr w:rsidR="00241BD9" w:rsidRPr="005C2884" w14:paraId="474F48DE" w14:textId="77777777" w:rsidTr="00F712FC">
        <w:tc>
          <w:tcPr>
            <w:tcW w:w="410" w:type="pct"/>
          </w:tcPr>
          <w:p w14:paraId="413BD89A"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7.1</w:t>
            </w:r>
          </w:p>
        </w:tc>
        <w:tc>
          <w:tcPr>
            <w:tcW w:w="4471" w:type="pct"/>
          </w:tcPr>
          <w:p w14:paraId="2FF17200"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apdrošināšanas perioda laikā 1.1.3. punktā nosaukto apdrošināšanas objektu kopējā sākotnējās bilances vērtības palielinājums nepārsniedz EUR 1 000 000, par to apdrošināšanas pakalpojumu sniedzējam atsevišķi nav jāziņo un papildus prēmija netiks aprēķināta.</w:t>
            </w:r>
          </w:p>
        </w:tc>
        <w:tc>
          <w:tcPr>
            <w:tcW w:w="119" w:type="pct"/>
          </w:tcPr>
          <w:p w14:paraId="5CAF2C9C" w14:textId="77777777" w:rsidR="00241BD9" w:rsidRPr="005C2884" w:rsidRDefault="00241BD9" w:rsidP="00F712FC">
            <w:pPr>
              <w:spacing w:after="200" w:line="276" w:lineRule="auto"/>
              <w:rPr>
                <w:rFonts w:eastAsia="Arial" w:cs="Arial"/>
                <w:i/>
                <w:sz w:val="18"/>
                <w:szCs w:val="18"/>
              </w:rPr>
            </w:pPr>
          </w:p>
        </w:tc>
      </w:tr>
      <w:tr w:rsidR="00241BD9" w:rsidRPr="005C2884" w14:paraId="68BCA20C" w14:textId="77777777" w:rsidTr="00F712FC">
        <w:tc>
          <w:tcPr>
            <w:tcW w:w="410" w:type="pct"/>
          </w:tcPr>
          <w:p w14:paraId="47AB5194"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7.2</w:t>
            </w:r>
          </w:p>
        </w:tc>
        <w:tc>
          <w:tcPr>
            <w:tcW w:w="4471" w:type="pct"/>
          </w:tcPr>
          <w:p w14:paraId="126567F2"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apdrošināšanas perioda laikā 1.1.3. punktā nosaukto apdrošināšanas objektu kopējā sākotnējās bilances vērtības palielinājums pārsniedz EUR 1 000 000, Pasūtītājam reizi ceturksnī par to ir jāpaziņo apdrošināšanas pakalpojumu sniedzējam, kurš ir tiesīgs aprēķināt papildus prēmiju, piemērojot tā finanšu piedāvājumā norādīto apdrošināšanas prēmijas likmi tieši proporcionāli (pēc dienu skaita) periodam, kas atlicis līdz polises apdrošināšanas termiņa beigām.</w:t>
            </w:r>
          </w:p>
        </w:tc>
        <w:tc>
          <w:tcPr>
            <w:tcW w:w="119" w:type="pct"/>
          </w:tcPr>
          <w:p w14:paraId="575165D6" w14:textId="77777777" w:rsidR="00241BD9" w:rsidRPr="005C2884" w:rsidRDefault="00241BD9" w:rsidP="00F712FC">
            <w:pPr>
              <w:spacing w:after="200" w:line="276" w:lineRule="auto"/>
              <w:rPr>
                <w:rFonts w:eastAsia="Arial" w:cs="Arial"/>
                <w:i/>
                <w:sz w:val="18"/>
                <w:szCs w:val="18"/>
              </w:rPr>
            </w:pPr>
          </w:p>
        </w:tc>
      </w:tr>
      <w:tr w:rsidR="00241BD9" w:rsidRPr="005C2884" w14:paraId="3E4D815B" w14:textId="77777777" w:rsidTr="00F712FC">
        <w:tc>
          <w:tcPr>
            <w:tcW w:w="410" w:type="pct"/>
          </w:tcPr>
          <w:p w14:paraId="27A1A85D"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7.3</w:t>
            </w:r>
          </w:p>
        </w:tc>
        <w:tc>
          <w:tcPr>
            <w:tcW w:w="4471" w:type="pct"/>
          </w:tcPr>
          <w:p w14:paraId="7FC4B0E0"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apdrošināšanas perioda laikā 1.1.1.-1.1.2. punktā nosaukto apdrošināšanas objektu kopējās sākotnējās bilances vērtības palielinājums nepārsniedz EUR  1 000 000, par to apdrošināšanas pakalpojumu sniedzējam atsevišķi nav jāziņo un papildus prēmija netiks aprēķināta.</w:t>
            </w:r>
          </w:p>
        </w:tc>
        <w:tc>
          <w:tcPr>
            <w:tcW w:w="119" w:type="pct"/>
          </w:tcPr>
          <w:p w14:paraId="37C29150" w14:textId="77777777" w:rsidR="00241BD9" w:rsidRPr="005C2884" w:rsidRDefault="00241BD9" w:rsidP="00F712FC">
            <w:pPr>
              <w:spacing w:after="200" w:line="276" w:lineRule="auto"/>
              <w:rPr>
                <w:rFonts w:eastAsia="Arial" w:cs="Arial"/>
                <w:i/>
                <w:sz w:val="18"/>
                <w:szCs w:val="18"/>
              </w:rPr>
            </w:pPr>
          </w:p>
        </w:tc>
      </w:tr>
      <w:tr w:rsidR="00241BD9" w:rsidRPr="005C2884" w14:paraId="64B254BD" w14:textId="77777777" w:rsidTr="00F712FC">
        <w:tc>
          <w:tcPr>
            <w:tcW w:w="410" w:type="pct"/>
          </w:tcPr>
          <w:p w14:paraId="3E684AFD"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7.4</w:t>
            </w:r>
          </w:p>
        </w:tc>
        <w:tc>
          <w:tcPr>
            <w:tcW w:w="4471" w:type="pct"/>
          </w:tcPr>
          <w:p w14:paraId="421197F6"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apdrošināšanas perioda laikā 1.1.1.-1.1.2. punktā nosaukto apdrošināšanas objektu kopējās sākotnējās bilances vērtības palielinājums pārsniedz EUR 1 000 000, Pasūtītājam reizi ceturksnī par to ir jāpaziņo apdrošināšanas pakalpojumu sniedzējam, kurš ir tiesīgs aprēķināt papildus prēmiju, piemērojot tā finanšu piedāvājumā norādīto apdrošināšanas prēmijas likmi</w:t>
            </w:r>
            <w:r w:rsidRPr="005C2884">
              <w:rPr>
                <w:rFonts w:eastAsia="Arial" w:cs="Arial"/>
                <w:b/>
                <w:sz w:val="18"/>
                <w:szCs w:val="18"/>
                <w:lang w:eastAsia="zh-CN"/>
              </w:rPr>
              <w:t xml:space="preserve"> </w:t>
            </w:r>
            <w:r w:rsidRPr="005C2884">
              <w:rPr>
                <w:rFonts w:eastAsia="Arial" w:cs="Arial"/>
                <w:sz w:val="18"/>
                <w:szCs w:val="18"/>
                <w:lang w:eastAsia="zh-CN"/>
              </w:rPr>
              <w:t>tieši proporcionāli (pēc dienu skaita) periodam, kas atlicis līdz polises apdrošināšanas termiņa beigām.</w:t>
            </w:r>
          </w:p>
        </w:tc>
        <w:tc>
          <w:tcPr>
            <w:tcW w:w="119" w:type="pct"/>
          </w:tcPr>
          <w:p w14:paraId="37FFA038" w14:textId="77777777" w:rsidR="00241BD9" w:rsidRPr="005C2884" w:rsidRDefault="00241BD9" w:rsidP="00F712FC">
            <w:pPr>
              <w:spacing w:after="200" w:line="276" w:lineRule="auto"/>
              <w:rPr>
                <w:rFonts w:eastAsia="Arial" w:cs="Arial"/>
                <w:i/>
                <w:sz w:val="18"/>
                <w:szCs w:val="18"/>
              </w:rPr>
            </w:pPr>
          </w:p>
        </w:tc>
      </w:tr>
      <w:tr w:rsidR="00241BD9" w:rsidRPr="005C2884" w14:paraId="1C0E1BBA" w14:textId="77777777" w:rsidTr="00F712FC">
        <w:tc>
          <w:tcPr>
            <w:tcW w:w="410" w:type="pct"/>
          </w:tcPr>
          <w:p w14:paraId="2869D30B"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8.</w:t>
            </w:r>
          </w:p>
        </w:tc>
        <w:tc>
          <w:tcPr>
            <w:tcW w:w="4471" w:type="pct"/>
          </w:tcPr>
          <w:p w14:paraId="7ED2148D"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 attiecībā uz esošo īpašumu ir spēkā bez ierobežojumiem arī, ja kādā no apdrošinātajiem objektiem tiek veikti remontdarbi un būvniecība saskaņā ar attiecīgiem normatīvajiem aktiem, tai skaitā, ja būvdarbu veikšanai noformēta būvatļauja. Ja būvdarbu veicēja noformētajā būvniecības visu risku (CAR) polisē ir paredzēts segums attiecībā uz esošā īpašuma apdrošināšanu, pretendentam ir saistoši tikai zaudējumi, kas netiek kompensēti atbilstoši šādai CAR polisei.</w:t>
            </w:r>
          </w:p>
        </w:tc>
        <w:tc>
          <w:tcPr>
            <w:tcW w:w="119" w:type="pct"/>
          </w:tcPr>
          <w:p w14:paraId="5C6B50F8" w14:textId="77777777" w:rsidR="00241BD9" w:rsidRPr="005C2884" w:rsidRDefault="00241BD9" w:rsidP="00F712FC">
            <w:pPr>
              <w:spacing w:after="200" w:line="276" w:lineRule="auto"/>
              <w:rPr>
                <w:rFonts w:eastAsia="Arial" w:cs="Arial"/>
                <w:i/>
                <w:sz w:val="18"/>
                <w:szCs w:val="18"/>
              </w:rPr>
            </w:pPr>
          </w:p>
        </w:tc>
      </w:tr>
      <w:tr w:rsidR="00241BD9" w:rsidRPr="005C2884" w14:paraId="408F3C32" w14:textId="77777777" w:rsidTr="00F712FC">
        <w:tc>
          <w:tcPr>
            <w:tcW w:w="410" w:type="pct"/>
          </w:tcPr>
          <w:p w14:paraId="644A7C0B"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9.</w:t>
            </w:r>
          </w:p>
        </w:tc>
        <w:tc>
          <w:tcPr>
            <w:tcW w:w="4471" w:type="pct"/>
          </w:tcPr>
          <w:p w14:paraId="1885AB28"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 attiecībā uz esošo īpašumu ir spēkā arī gadījumos, kad Pasūtītājs vai tā sadarbības partneri veic ārkārtas un uzturēšanas (tekošos, profilakses) remontdarbus.</w:t>
            </w:r>
          </w:p>
        </w:tc>
        <w:tc>
          <w:tcPr>
            <w:tcW w:w="119" w:type="pct"/>
          </w:tcPr>
          <w:p w14:paraId="5B03EC5B" w14:textId="77777777" w:rsidR="00241BD9" w:rsidRPr="005C2884" w:rsidRDefault="00241BD9" w:rsidP="00F712FC">
            <w:pPr>
              <w:spacing w:after="200" w:line="276" w:lineRule="auto"/>
              <w:rPr>
                <w:rFonts w:eastAsia="Arial" w:cs="Arial"/>
                <w:i/>
                <w:sz w:val="18"/>
                <w:szCs w:val="18"/>
              </w:rPr>
            </w:pPr>
          </w:p>
        </w:tc>
      </w:tr>
      <w:tr w:rsidR="00241BD9" w:rsidRPr="005C2884" w14:paraId="388B50B5" w14:textId="77777777" w:rsidTr="00F712FC">
        <w:tc>
          <w:tcPr>
            <w:tcW w:w="410" w:type="pct"/>
          </w:tcPr>
          <w:p w14:paraId="52051B89"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10.</w:t>
            </w:r>
          </w:p>
        </w:tc>
        <w:tc>
          <w:tcPr>
            <w:tcW w:w="4471" w:type="pct"/>
          </w:tcPr>
          <w:p w14:paraId="28FE3AA7"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 ir arī spēkā pamatlīdzekļiem, kuri apdrošināšanas līguma darbības laikā tiek nodoti nomā, īrē vai patapinājumā. Apdrošināšanas segums saglabājas apdrošināšanas līgumā paredzētajā līmenī. Šādos gadījumos attiecībā uz nomnieku tiek piemēroti apdrošinājuma ņēmēja pienākumi un tiesības.</w:t>
            </w:r>
          </w:p>
        </w:tc>
        <w:tc>
          <w:tcPr>
            <w:tcW w:w="119" w:type="pct"/>
          </w:tcPr>
          <w:p w14:paraId="3C1CD104" w14:textId="77777777" w:rsidR="00241BD9" w:rsidRPr="005C2884" w:rsidRDefault="00241BD9" w:rsidP="00F712FC">
            <w:pPr>
              <w:spacing w:after="200" w:line="276" w:lineRule="auto"/>
              <w:rPr>
                <w:rFonts w:eastAsia="Arial" w:cs="Arial"/>
                <w:i/>
                <w:sz w:val="18"/>
                <w:szCs w:val="18"/>
              </w:rPr>
            </w:pPr>
            <w:r w:rsidRPr="005C2884">
              <w:rPr>
                <w:rFonts w:eastAsia="Arial" w:cs="Arial"/>
                <w:i/>
                <w:sz w:val="18"/>
                <w:szCs w:val="18"/>
              </w:rPr>
              <w:t xml:space="preserve"> </w:t>
            </w:r>
          </w:p>
        </w:tc>
      </w:tr>
      <w:tr w:rsidR="00241BD9" w:rsidRPr="005C2884" w14:paraId="3BFED1E6" w14:textId="77777777" w:rsidTr="00F712FC">
        <w:tc>
          <w:tcPr>
            <w:tcW w:w="410" w:type="pct"/>
          </w:tcPr>
          <w:p w14:paraId="53A409D1"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11.</w:t>
            </w:r>
          </w:p>
        </w:tc>
        <w:tc>
          <w:tcPr>
            <w:tcW w:w="4471" w:type="pct"/>
          </w:tcPr>
          <w:p w14:paraId="57197D80"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segums tiks nodrošināts, neizvirzot papildus prasības attiecībā uz apdrošināšanas objektu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p w14:paraId="07F08AE5"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segums ir spēkā bez ierobežojumiem arī apstākļos, kad objektīvu iemeslu dēļ apdrošināšanas objektos uz laiku nav iespējams aktivizēt apsardzes un/vai ugunsdrošības signalizāciju, piemēram, telpu remonta gadījumā. Šādās situācijās Pasūtītājs nodrošina nepieciešamos apsardzes pasākumus materiālo vērtību aizsardzībai pret zādzības risku.</w:t>
            </w:r>
          </w:p>
        </w:tc>
        <w:tc>
          <w:tcPr>
            <w:tcW w:w="119" w:type="pct"/>
          </w:tcPr>
          <w:p w14:paraId="320D1C2E" w14:textId="77777777" w:rsidR="00241BD9" w:rsidRPr="005C2884" w:rsidRDefault="00241BD9" w:rsidP="00F712FC">
            <w:pPr>
              <w:spacing w:after="200" w:line="276" w:lineRule="auto"/>
              <w:rPr>
                <w:rFonts w:eastAsia="Arial" w:cs="Arial"/>
                <w:i/>
                <w:sz w:val="18"/>
                <w:szCs w:val="18"/>
              </w:rPr>
            </w:pPr>
          </w:p>
        </w:tc>
      </w:tr>
      <w:tr w:rsidR="00241BD9" w:rsidRPr="005C2884" w14:paraId="773BBE69" w14:textId="77777777" w:rsidTr="00F712FC">
        <w:tc>
          <w:tcPr>
            <w:tcW w:w="410" w:type="pct"/>
          </w:tcPr>
          <w:p w14:paraId="39C73F72"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12.</w:t>
            </w:r>
          </w:p>
        </w:tc>
        <w:tc>
          <w:tcPr>
            <w:tcW w:w="4471" w:type="pct"/>
          </w:tcPr>
          <w:p w14:paraId="2BD9B88E"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Glābšanas un sakārtošanas izdevumos, kas veicami pēc apdrošināšanas gadījuma, iekļauti arī teritorijas, t.sk. labiekārtojuma, atjaunošanas, ceļa seguma atjaunošanas, drupu novākšanas un demontāžas u.c. saistītie izdevumi ar atlīdzības limitu EUR 200 000 par gadījumu un apdrošināšanas līguma laikā.</w:t>
            </w:r>
          </w:p>
        </w:tc>
        <w:tc>
          <w:tcPr>
            <w:tcW w:w="119" w:type="pct"/>
          </w:tcPr>
          <w:p w14:paraId="5A89E5A5" w14:textId="77777777" w:rsidR="00241BD9" w:rsidRPr="005C2884" w:rsidRDefault="00241BD9" w:rsidP="00F712FC">
            <w:pPr>
              <w:spacing w:after="200" w:line="276" w:lineRule="auto"/>
              <w:rPr>
                <w:rFonts w:eastAsia="Arial" w:cs="Arial"/>
                <w:i/>
                <w:sz w:val="18"/>
                <w:szCs w:val="18"/>
              </w:rPr>
            </w:pPr>
          </w:p>
        </w:tc>
      </w:tr>
      <w:tr w:rsidR="00241BD9" w:rsidRPr="005C2884" w14:paraId="7C2B5580" w14:textId="77777777" w:rsidTr="00F712FC">
        <w:tc>
          <w:tcPr>
            <w:tcW w:w="410" w:type="pct"/>
          </w:tcPr>
          <w:p w14:paraId="4A04A952"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13.</w:t>
            </w:r>
          </w:p>
        </w:tc>
        <w:tc>
          <w:tcPr>
            <w:tcW w:w="4471" w:type="pct"/>
          </w:tcPr>
          <w:p w14:paraId="2FE08D46"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Tiek segti arī darbinieku (izņemot Pasūtītāja valdes vai padomes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vai padomes locekļiem.</w:t>
            </w:r>
          </w:p>
        </w:tc>
        <w:tc>
          <w:tcPr>
            <w:tcW w:w="119" w:type="pct"/>
          </w:tcPr>
          <w:p w14:paraId="54989224" w14:textId="77777777" w:rsidR="00241BD9" w:rsidRPr="005C2884" w:rsidRDefault="00241BD9" w:rsidP="00F712FC">
            <w:pPr>
              <w:spacing w:after="200" w:line="276" w:lineRule="auto"/>
              <w:rPr>
                <w:rFonts w:eastAsia="Arial" w:cs="Arial"/>
                <w:i/>
                <w:sz w:val="18"/>
                <w:szCs w:val="18"/>
              </w:rPr>
            </w:pPr>
          </w:p>
        </w:tc>
      </w:tr>
      <w:tr w:rsidR="00241BD9" w:rsidRPr="005C2884" w14:paraId="3AFB8D54" w14:textId="77777777" w:rsidTr="00F712FC">
        <w:tc>
          <w:tcPr>
            <w:tcW w:w="410" w:type="pct"/>
          </w:tcPr>
          <w:p w14:paraId="257C1B51"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14.</w:t>
            </w:r>
          </w:p>
        </w:tc>
        <w:tc>
          <w:tcPr>
            <w:tcW w:w="4471" w:type="pct"/>
          </w:tcPr>
          <w:p w14:paraId="2530CA2B"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Tiek segti arī nomnieku, klientu, viesu un jebkuru citu personu, kas nav Pasūtītāja darbinieki un kurām tiek piešķirtas apdrošināto objektu lietošanas tiesības, nodarīti zaudējumi, tai skaitā, to rupjas neuzmanības un tīšas rīcības rezultātā.</w:t>
            </w:r>
          </w:p>
        </w:tc>
        <w:tc>
          <w:tcPr>
            <w:tcW w:w="119" w:type="pct"/>
          </w:tcPr>
          <w:p w14:paraId="5BC8A1FF" w14:textId="77777777" w:rsidR="00241BD9" w:rsidRPr="005C2884" w:rsidRDefault="00241BD9" w:rsidP="00F712FC">
            <w:pPr>
              <w:spacing w:after="200" w:line="276" w:lineRule="auto"/>
              <w:rPr>
                <w:rFonts w:eastAsia="Arial" w:cs="Arial"/>
                <w:i/>
                <w:sz w:val="18"/>
                <w:szCs w:val="18"/>
              </w:rPr>
            </w:pPr>
          </w:p>
        </w:tc>
      </w:tr>
      <w:tr w:rsidR="00241BD9" w:rsidRPr="005C2884" w14:paraId="4C9D36B6" w14:textId="77777777" w:rsidTr="00F712FC">
        <w:tc>
          <w:tcPr>
            <w:tcW w:w="410" w:type="pct"/>
          </w:tcPr>
          <w:p w14:paraId="5F699340"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15.</w:t>
            </w:r>
          </w:p>
        </w:tc>
        <w:tc>
          <w:tcPr>
            <w:tcW w:w="4471" w:type="pct"/>
          </w:tcPr>
          <w:p w14:paraId="7042DFE1"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gadījuma pieteikšanas minimālais termiņš – ne mazāk kā 5 (piecas) darba dienas no apdrošināšanas gadījuma konstatēšanas brīža.</w:t>
            </w:r>
          </w:p>
        </w:tc>
        <w:tc>
          <w:tcPr>
            <w:tcW w:w="119" w:type="pct"/>
          </w:tcPr>
          <w:p w14:paraId="5093AE94" w14:textId="77777777" w:rsidR="00241BD9" w:rsidRPr="005C2884" w:rsidRDefault="00241BD9" w:rsidP="00F712FC">
            <w:pPr>
              <w:spacing w:after="200" w:line="276" w:lineRule="auto"/>
              <w:rPr>
                <w:rFonts w:eastAsia="Arial" w:cs="Arial"/>
                <w:i/>
                <w:sz w:val="18"/>
                <w:szCs w:val="18"/>
              </w:rPr>
            </w:pPr>
          </w:p>
        </w:tc>
      </w:tr>
      <w:tr w:rsidR="00241BD9" w:rsidRPr="005C2884" w14:paraId="178F914C" w14:textId="77777777" w:rsidTr="00F712FC">
        <w:tc>
          <w:tcPr>
            <w:tcW w:w="410" w:type="pct"/>
          </w:tcPr>
          <w:p w14:paraId="4648C0E1"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16.</w:t>
            </w:r>
          </w:p>
        </w:tc>
        <w:tc>
          <w:tcPr>
            <w:tcW w:w="4471" w:type="pct"/>
          </w:tcPr>
          <w:p w14:paraId="701C4CA1"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Subrogācijas prasība par izmaksāto atlīdzību netiek vērsta pret Pasūtītāja darbiniekiem, izņemot, ja tie ir rīkojušies tīši, ļaunprātīgi vai rupji neuzmanīgi.</w:t>
            </w:r>
          </w:p>
        </w:tc>
        <w:tc>
          <w:tcPr>
            <w:tcW w:w="119" w:type="pct"/>
          </w:tcPr>
          <w:p w14:paraId="08B4B4FA" w14:textId="77777777" w:rsidR="00241BD9" w:rsidRPr="005C2884" w:rsidRDefault="00241BD9" w:rsidP="00F712FC">
            <w:pPr>
              <w:spacing w:after="200" w:line="276" w:lineRule="auto"/>
              <w:rPr>
                <w:rFonts w:eastAsia="Arial" w:cs="Arial"/>
                <w:i/>
                <w:sz w:val="18"/>
                <w:szCs w:val="18"/>
              </w:rPr>
            </w:pPr>
          </w:p>
        </w:tc>
      </w:tr>
      <w:tr w:rsidR="00241BD9" w:rsidRPr="005C2884" w14:paraId="376C9560" w14:textId="77777777" w:rsidTr="00F712FC">
        <w:tc>
          <w:tcPr>
            <w:tcW w:w="410" w:type="pct"/>
          </w:tcPr>
          <w:p w14:paraId="79C5C61B" w14:textId="77777777" w:rsidR="00241BD9" w:rsidRPr="005C2884" w:rsidRDefault="00241BD9" w:rsidP="00F712FC">
            <w:pPr>
              <w:suppressAutoHyphens/>
              <w:autoSpaceDE w:val="0"/>
              <w:spacing w:after="200" w:line="276" w:lineRule="auto"/>
              <w:jc w:val="center"/>
              <w:rPr>
                <w:rFonts w:eastAsia="Arial" w:cs="Arial"/>
                <w:sz w:val="18"/>
                <w:szCs w:val="18"/>
                <w:lang w:eastAsia="zh-CN"/>
              </w:rPr>
            </w:pPr>
            <w:r w:rsidRPr="005C2884">
              <w:rPr>
                <w:rFonts w:eastAsia="Arial" w:cs="Arial"/>
                <w:sz w:val="18"/>
                <w:szCs w:val="18"/>
                <w:lang w:eastAsia="zh-CN"/>
              </w:rPr>
              <w:t>17.</w:t>
            </w:r>
          </w:p>
        </w:tc>
        <w:tc>
          <w:tcPr>
            <w:tcW w:w="4471" w:type="pct"/>
          </w:tcPr>
          <w:p w14:paraId="334DEE2C"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Jebkādu papildus apakšlimitu piemērošana šajās minimālajās prasībās noteiktajiem pretendenta tehniskajā piedāvājumā netiek pieļauta.</w:t>
            </w:r>
          </w:p>
        </w:tc>
        <w:tc>
          <w:tcPr>
            <w:tcW w:w="119" w:type="pct"/>
          </w:tcPr>
          <w:p w14:paraId="4FB6EB45" w14:textId="77777777" w:rsidR="00241BD9" w:rsidRPr="005C2884" w:rsidRDefault="00241BD9" w:rsidP="00F712FC">
            <w:pPr>
              <w:spacing w:after="200" w:line="276" w:lineRule="auto"/>
              <w:rPr>
                <w:rFonts w:eastAsia="Arial" w:cs="Arial"/>
                <w:i/>
                <w:sz w:val="18"/>
                <w:szCs w:val="18"/>
              </w:rPr>
            </w:pPr>
          </w:p>
        </w:tc>
      </w:tr>
      <w:tr w:rsidR="00241BD9" w:rsidRPr="005C2884" w14:paraId="22B98D0B" w14:textId="77777777" w:rsidTr="00F712FC">
        <w:tc>
          <w:tcPr>
            <w:tcW w:w="410" w:type="pct"/>
          </w:tcPr>
          <w:p w14:paraId="5BAB5F83"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II</w:t>
            </w:r>
          </w:p>
        </w:tc>
        <w:tc>
          <w:tcPr>
            <w:tcW w:w="4471" w:type="pct"/>
          </w:tcPr>
          <w:p w14:paraId="587C040C" w14:textId="77777777" w:rsidR="00241BD9" w:rsidRPr="005C2884" w:rsidRDefault="00241BD9" w:rsidP="00F712FC">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ĪPAŠUMA APDROŠINĀŠANA (sabiedriskā transporta līdzekļi: tramvaji, trolejbusi, autobusi)</w:t>
            </w:r>
          </w:p>
        </w:tc>
        <w:tc>
          <w:tcPr>
            <w:tcW w:w="119" w:type="pct"/>
          </w:tcPr>
          <w:p w14:paraId="28B429EF" w14:textId="77777777" w:rsidR="00241BD9" w:rsidRPr="005C2884" w:rsidRDefault="00241BD9" w:rsidP="00F712FC">
            <w:pPr>
              <w:spacing w:after="200" w:line="276" w:lineRule="auto"/>
              <w:rPr>
                <w:rFonts w:eastAsia="Arial" w:cs="Arial"/>
                <w:i/>
                <w:sz w:val="18"/>
                <w:szCs w:val="18"/>
              </w:rPr>
            </w:pPr>
          </w:p>
        </w:tc>
      </w:tr>
      <w:tr w:rsidR="00241BD9" w:rsidRPr="005C2884" w14:paraId="74E28C92" w14:textId="77777777" w:rsidTr="00F712FC">
        <w:tc>
          <w:tcPr>
            <w:tcW w:w="410" w:type="pct"/>
          </w:tcPr>
          <w:p w14:paraId="4364A2F5"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II.I.</w:t>
            </w:r>
          </w:p>
        </w:tc>
        <w:tc>
          <w:tcPr>
            <w:tcW w:w="4471" w:type="pct"/>
          </w:tcPr>
          <w:p w14:paraId="06CC612E" w14:textId="77777777" w:rsidR="00241BD9" w:rsidRPr="005C2884" w:rsidRDefault="00241BD9" w:rsidP="00F712FC">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Nosaukto risku apdrošināšana.</w:t>
            </w:r>
          </w:p>
        </w:tc>
        <w:tc>
          <w:tcPr>
            <w:tcW w:w="119" w:type="pct"/>
          </w:tcPr>
          <w:p w14:paraId="69B8E2D2" w14:textId="77777777" w:rsidR="00241BD9" w:rsidRPr="005C2884" w:rsidRDefault="00241BD9" w:rsidP="00F712FC">
            <w:pPr>
              <w:spacing w:after="200" w:line="276" w:lineRule="auto"/>
              <w:rPr>
                <w:rFonts w:eastAsia="Arial" w:cs="Arial"/>
                <w:i/>
                <w:sz w:val="18"/>
                <w:szCs w:val="18"/>
              </w:rPr>
            </w:pPr>
          </w:p>
        </w:tc>
      </w:tr>
      <w:tr w:rsidR="00241BD9" w:rsidRPr="005C2884" w14:paraId="77A28D4D" w14:textId="77777777" w:rsidTr="00F712FC">
        <w:tc>
          <w:tcPr>
            <w:tcW w:w="410" w:type="pct"/>
          </w:tcPr>
          <w:p w14:paraId="3237A7AA"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1.</w:t>
            </w:r>
          </w:p>
        </w:tc>
        <w:tc>
          <w:tcPr>
            <w:tcW w:w="4471" w:type="pct"/>
          </w:tcPr>
          <w:p w14:paraId="1C27EA85"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Apdrošināšanas objekts, apdrošināšanas summa</w:t>
            </w:r>
            <w:r w:rsidRPr="005C2884">
              <w:rPr>
                <w:rFonts w:eastAsia="Arial" w:cs="Arial"/>
                <w:sz w:val="18"/>
                <w:szCs w:val="18"/>
                <w:lang w:eastAsia="zh-CN"/>
              </w:rPr>
              <w:t>: 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uzskaitīti uzņēmuma bilancē</w:t>
            </w:r>
            <w:r w:rsidRPr="005C2884">
              <w:rPr>
                <w:rFonts w:eastAsia="Arial" w:cs="Arial"/>
                <w:sz w:val="18"/>
                <w:szCs w:val="18"/>
                <w:lang w:eastAsia="zh-CN"/>
              </w:rPr>
              <w:t xml:space="preserve"> (t.sk. trešajām personām ieķīlātie) un norādīti apdrošināmo objektu sarakstā, tai skaitā,</w:t>
            </w:r>
          </w:p>
        </w:tc>
        <w:tc>
          <w:tcPr>
            <w:tcW w:w="119" w:type="pct"/>
          </w:tcPr>
          <w:p w14:paraId="425CA7EA" w14:textId="77777777" w:rsidR="00241BD9" w:rsidRPr="005C2884" w:rsidRDefault="00241BD9" w:rsidP="00F712FC">
            <w:pPr>
              <w:spacing w:after="200" w:line="276" w:lineRule="auto"/>
              <w:rPr>
                <w:rFonts w:eastAsia="Arial" w:cs="Arial"/>
                <w:i/>
                <w:sz w:val="18"/>
                <w:szCs w:val="18"/>
              </w:rPr>
            </w:pPr>
          </w:p>
        </w:tc>
      </w:tr>
      <w:tr w:rsidR="00241BD9" w:rsidRPr="005C2884" w14:paraId="425B0BCB" w14:textId="77777777" w:rsidTr="00F712FC">
        <w:tc>
          <w:tcPr>
            <w:tcW w:w="410" w:type="pct"/>
          </w:tcPr>
          <w:p w14:paraId="3213C640"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1.1.</w:t>
            </w:r>
          </w:p>
        </w:tc>
        <w:tc>
          <w:tcPr>
            <w:tcW w:w="4471" w:type="pct"/>
          </w:tcPr>
          <w:p w14:paraId="3BA941B8"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uzskaitīti uzņēmuma bilancē</w:t>
            </w:r>
            <w:r w:rsidRPr="005C2884">
              <w:rPr>
                <w:rFonts w:eastAsia="Arial" w:cs="Arial"/>
                <w:sz w:val="18"/>
                <w:szCs w:val="18"/>
                <w:lang w:eastAsia="zh-CN"/>
              </w:rPr>
              <w:t xml:space="preserve"> (t.sk. trešajām personām ieķīlātie) un norādīti apdrošināmo objektu sarakstā.</w:t>
            </w:r>
          </w:p>
        </w:tc>
        <w:tc>
          <w:tcPr>
            <w:tcW w:w="119" w:type="pct"/>
          </w:tcPr>
          <w:p w14:paraId="674AF9B9" w14:textId="77777777" w:rsidR="00241BD9" w:rsidRPr="005C2884" w:rsidRDefault="00241BD9" w:rsidP="00F712FC">
            <w:pPr>
              <w:spacing w:after="200" w:line="276" w:lineRule="auto"/>
              <w:rPr>
                <w:rFonts w:eastAsia="Arial" w:cs="Arial"/>
                <w:i/>
                <w:sz w:val="18"/>
                <w:szCs w:val="18"/>
              </w:rPr>
            </w:pPr>
          </w:p>
        </w:tc>
      </w:tr>
      <w:tr w:rsidR="00241BD9" w:rsidRPr="005C2884" w14:paraId="5FCCC518" w14:textId="77777777" w:rsidTr="00F712FC">
        <w:tc>
          <w:tcPr>
            <w:tcW w:w="410" w:type="pct"/>
          </w:tcPr>
          <w:p w14:paraId="39E03F91"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1.2.</w:t>
            </w:r>
          </w:p>
        </w:tc>
        <w:tc>
          <w:tcPr>
            <w:tcW w:w="4471" w:type="pct"/>
          </w:tcPr>
          <w:p w14:paraId="6AF368D4"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atbilstoši Pasūtītāja un ražotāju noslēgtajiem līgumiem apdrošināšanas perioda laikā ražotājiem ir/būs jāpiegādā saskaņā ar piegāžu grafiku</w:t>
            </w:r>
            <w:r w:rsidRPr="005C2884">
              <w:rPr>
                <w:rFonts w:eastAsia="Arial" w:cs="Arial"/>
                <w:sz w:val="18"/>
                <w:szCs w:val="18"/>
                <w:lang w:eastAsia="zh-CN"/>
              </w:rPr>
              <w:t>. Šajā punktā norādīto transportlīdzekļu apdrošināšanas līgumu noslēgšanu Pasūtītājs negarantē.</w:t>
            </w:r>
          </w:p>
        </w:tc>
        <w:tc>
          <w:tcPr>
            <w:tcW w:w="119" w:type="pct"/>
          </w:tcPr>
          <w:p w14:paraId="17096DFA" w14:textId="77777777" w:rsidR="00241BD9" w:rsidRPr="005C2884" w:rsidRDefault="00241BD9" w:rsidP="00F712FC">
            <w:pPr>
              <w:spacing w:after="200" w:line="276" w:lineRule="auto"/>
              <w:rPr>
                <w:rFonts w:eastAsia="Arial" w:cs="Arial"/>
                <w:i/>
                <w:sz w:val="18"/>
                <w:szCs w:val="18"/>
              </w:rPr>
            </w:pPr>
          </w:p>
        </w:tc>
      </w:tr>
      <w:tr w:rsidR="00241BD9" w:rsidRPr="005C2884" w14:paraId="07A7849B" w14:textId="77777777" w:rsidTr="00F712FC">
        <w:tc>
          <w:tcPr>
            <w:tcW w:w="410" w:type="pct"/>
          </w:tcPr>
          <w:p w14:paraId="4DB2092D"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1.3.</w:t>
            </w:r>
          </w:p>
        </w:tc>
        <w:tc>
          <w:tcPr>
            <w:tcW w:w="4471" w:type="pct"/>
          </w:tcPr>
          <w:p w14:paraId="4216ECEC"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līdz 5 gadus (ieskaitot) veciem transportlīdzekļiem tiek noteikta jauniegādes vērtībā eiro (bez PVN).</w:t>
            </w:r>
          </w:p>
        </w:tc>
        <w:tc>
          <w:tcPr>
            <w:tcW w:w="119" w:type="pct"/>
          </w:tcPr>
          <w:p w14:paraId="048BF0F4" w14:textId="77777777" w:rsidR="00241BD9" w:rsidRPr="005C2884" w:rsidRDefault="00241BD9" w:rsidP="00F712FC">
            <w:pPr>
              <w:spacing w:after="200" w:line="276" w:lineRule="auto"/>
              <w:rPr>
                <w:rFonts w:eastAsia="Arial" w:cs="Arial"/>
                <w:i/>
                <w:sz w:val="18"/>
                <w:szCs w:val="18"/>
              </w:rPr>
            </w:pPr>
          </w:p>
        </w:tc>
      </w:tr>
      <w:tr w:rsidR="00241BD9" w:rsidRPr="005C2884" w14:paraId="54BB425E" w14:textId="77777777" w:rsidTr="00F712FC">
        <w:tc>
          <w:tcPr>
            <w:tcW w:w="410" w:type="pct"/>
          </w:tcPr>
          <w:p w14:paraId="4096D81E"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1.4.</w:t>
            </w:r>
          </w:p>
        </w:tc>
        <w:tc>
          <w:tcPr>
            <w:tcW w:w="4471" w:type="pct"/>
          </w:tcPr>
          <w:p w14:paraId="75EDDE5F"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virs 5 gadus veciem un vecākiem transportlīdzekļiem ir faktiskā (tirgus) vērtība eiro (bez PVN).</w:t>
            </w:r>
          </w:p>
        </w:tc>
        <w:tc>
          <w:tcPr>
            <w:tcW w:w="119" w:type="pct"/>
          </w:tcPr>
          <w:p w14:paraId="4178DCCC" w14:textId="77777777" w:rsidR="00241BD9" w:rsidRPr="005C2884" w:rsidRDefault="00241BD9" w:rsidP="00F712FC">
            <w:pPr>
              <w:spacing w:after="200" w:line="276" w:lineRule="auto"/>
              <w:rPr>
                <w:rFonts w:eastAsia="Arial" w:cs="Arial"/>
                <w:i/>
                <w:sz w:val="18"/>
                <w:szCs w:val="18"/>
              </w:rPr>
            </w:pPr>
          </w:p>
        </w:tc>
      </w:tr>
      <w:tr w:rsidR="00241BD9" w:rsidRPr="005C2884" w14:paraId="789796D0" w14:textId="77777777" w:rsidTr="00F712FC">
        <w:tc>
          <w:tcPr>
            <w:tcW w:w="410" w:type="pct"/>
          </w:tcPr>
          <w:p w14:paraId="2EEDFC32"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1.5.</w:t>
            </w:r>
          </w:p>
        </w:tc>
        <w:tc>
          <w:tcPr>
            <w:tcW w:w="4471" w:type="pct"/>
          </w:tcPr>
          <w:p w14:paraId="7AF0E127"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katram konkrētam transportlīdzeklim norādīta apdrošināmo objektu sarakstā Nr.2.</w:t>
            </w:r>
          </w:p>
        </w:tc>
        <w:tc>
          <w:tcPr>
            <w:tcW w:w="119" w:type="pct"/>
          </w:tcPr>
          <w:p w14:paraId="05FA90F4" w14:textId="77777777" w:rsidR="00241BD9" w:rsidRPr="005C2884" w:rsidRDefault="00241BD9" w:rsidP="00F712FC">
            <w:pPr>
              <w:spacing w:after="200" w:line="276" w:lineRule="auto"/>
              <w:rPr>
                <w:rFonts w:eastAsia="Arial" w:cs="Arial"/>
                <w:i/>
                <w:sz w:val="18"/>
                <w:szCs w:val="18"/>
              </w:rPr>
            </w:pPr>
          </w:p>
        </w:tc>
      </w:tr>
      <w:tr w:rsidR="00241BD9" w:rsidRPr="005C2884" w14:paraId="3E976A41" w14:textId="77777777" w:rsidTr="00F712FC">
        <w:tc>
          <w:tcPr>
            <w:tcW w:w="410" w:type="pct"/>
          </w:tcPr>
          <w:p w14:paraId="6A818FEA"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1.6.</w:t>
            </w:r>
          </w:p>
        </w:tc>
        <w:tc>
          <w:tcPr>
            <w:tcW w:w="4471" w:type="pct"/>
          </w:tcPr>
          <w:p w14:paraId="077AE2A5"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summai netiek piemēroti apakšlimiti, t.sk., attiecībā uz transportlīdzekļu aprīkojumu, krāsojumu.</w:t>
            </w:r>
          </w:p>
        </w:tc>
        <w:tc>
          <w:tcPr>
            <w:tcW w:w="119" w:type="pct"/>
          </w:tcPr>
          <w:p w14:paraId="1055973B" w14:textId="77777777" w:rsidR="00241BD9" w:rsidRPr="005C2884" w:rsidRDefault="00241BD9" w:rsidP="00F712FC">
            <w:pPr>
              <w:spacing w:after="200" w:line="276" w:lineRule="auto"/>
              <w:rPr>
                <w:rFonts w:eastAsia="Arial" w:cs="Arial"/>
                <w:i/>
                <w:sz w:val="18"/>
                <w:szCs w:val="18"/>
              </w:rPr>
            </w:pPr>
          </w:p>
        </w:tc>
      </w:tr>
      <w:tr w:rsidR="00241BD9" w:rsidRPr="005C2884" w14:paraId="2E000C53" w14:textId="77777777" w:rsidTr="00F712FC">
        <w:tc>
          <w:tcPr>
            <w:tcW w:w="410" w:type="pct"/>
          </w:tcPr>
          <w:p w14:paraId="51D425D1"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1.7.</w:t>
            </w:r>
          </w:p>
        </w:tc>
        <w:tc>
          <w:tcPr>
            <w:tcW w:w="4471" w:type="pct"/>
          </w:tcPr>
          <w:p w14:paraId="52BB9379"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 katram konkrētam objektam pēc apdrošināšanas atlīdzības izmaksas tiek atjaunota pilnā apmērā bez papildu apdrošināšanas prēmijas samaksas, izņemot gadījumus, kad īpašums ir gājis bojā un netiek atjaunots.</w:t>
            </w:r>
          </w:p>
        </w:tc>
        <w:tc>
          <w:tcPr>
            <w:tcW w:w="119" w:type="pct"/>
          </w:tcPr>
          <w:p w14:paraId="01156CEA" w14:textId="77777777" w:rsidR="00241BD9" w:rsidRPr="005C2884" w:rsidRDefault="00241BD9" w:rsidP="00F712FC">
            <w:pPr>
              <w:spacing w:after="200" w:line="276" w:lineRule="auto"/>
              <w:rPr>
                <w:rFonts w:eastAsia="Arial" w:cs="Arial"/>
                <w:i/>
                <w:sz w:val="18"/>
                <w:szCs w:val="18"/>
              </w:rPr>
            </w:pPr>
          </w:p>
        </w:tc>
      </w:tr>
      <w:tr w:rsidR="00241BD9" w:rsidRPr="005C2884" w14:paraId="52857263" w14:textId="77777777" w:rsidTr="00F712FC">
        <w:tc>
          <w:tcPr>
            <w:tcW w:w="410" w:type="pct"/>
          </w:tcPr>
          <w:p w14:paraId="52E59249"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2.</w:t>
            </w:r>
          </w:p>
        </w:tc>
        <w:tc>
          <w:tcPr>
            <w:tcW w:w="4471" w:type="pct"/>
          </w:tcPr>
          <w:p w14:paraId="4C29E076"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Apdrošināšanas teritorija</w:t>
            </w:r>
            <w:r w:rsidRPr="005C2884">
              <w:rPr>
                <w:rFonts w:eastAsia="Arial" w:cs="Arial"/>
                <w:sz w:val="18"/>
                <w:szCs w:val="18"/>
                <w:lang w:eastAsia="zh-CN"/>
              </w:rPr>
              <w:t xml:space="preserve"> – Latvijas Republika, </w:t>
            </w:r>
            <w:r w:rsidRPr="005C2884">
              <w:rPr>
                <w:rFonts w:eastAsia="Arial" w:cs="Arial"/>
                <w:b/>
                <w:i/>
                <w:sz w:val="18"/>
                <w:szCs w:val="18"/>
                <w:lang w:eastAsia="zh-CN"/>
              </w:rPr>
              <w:t>tai skaitā, piedaloties ceļu satiksmē.</w:t>
            </w:r>
          </w:p>
        </w:tc>
        <w:tc>
          <w:tcPr>
            <w:tcW w:w="119" w:type="pct"/>
          </w:tcPr>
          <w:p w14:paraId="7D94DA3E" w14:textId="77777777" w:rsidR="00241BD9" w:rsidRPr="005C2884" w:rsidRDefault="00241BD9" w:rsidP="00F712FC">
            <w:pPr>
              <w:spacing w:after="200" w:line="276" w:lineRule="auto"/>
              <w:rPr>
                <w:rFonts w:eastAsia="Arial" w:cs="Arial"/>
                <w:i/>
                <w:sz w:val="18"/>
                <w:szCs w:val="18"/>
              </w:rPr>
            </w:pPr>
          </w:p>
        </w:tc>
      </w:tr>
      <w:tr w:rsidR="00241BD9" w:rsidRPr="005C2884" w14:paraId="09562FE9" w14:textId="77777777" w:rsidTr="00F712FC">
        <w:tc>
          <w:tcPr>
            <w:tcW w:w="410" w:type="pct"/>
          </w:tcPr>
          <w:p w14:paraId="64820F2A"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3.</w:t>
            </w:r>
          </w:p>
        </w:tc>
        <w:tc>
          <w:tcPr>
            <w:tcW w:w="4471" w:type="pct"/>
          </w:tcPr>
          <w:p w14:paraId="6C8C97DF"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Apdrošinātie riski</w:t>
            </w:r>
            <w:r w:rsidRPr="005C2884">
              <w:rPr>
                <w:rFonts w:eastAsia="Arial" w:cs="Arial"/>
                <w:sz w:val="18"/>
                <w:szCs w:val="18"/>
                <w:lang w:eastAsia="zh-CN"/>
              </w:rPr>
              <w:t xml:space="preserve"> - apdrošinātā īpašuma tiešs fizisks bojājums vai bojāeja, kuru cēlonis ir:</w:t>
            </w:r>
          </w:p>
        </w:tc>
        <w:tc>
          <w:tcPr>
            <w:tcW w:w="119" w:type="pct"/>
          </w:tcPr>
          <w:p w14:paraId="68AB2924" w14:textId="77777777" w:rsidR="00241BD9" w:rsidRPr="005C2884" w:rsidRDefault="00241BD9" w:rsidP="00F712FC">
            <w:pPr>
              <w:spacing w:after="200" w:line="276" w:lineRule="auto"/>
              <w:rPr>
                <w:rFonts w:eastAsia="Arial" w:cs="Arial"/>
                <w:i/>
                <w:sz w:val="18"/>
                <w:szCs w:val="18"/>
              </w:rPr>
            </w:pPr>
          </w:p>
        </w:tc>
      </w:tr>
      <w:tr w:rsidR="00241BD9" w:rsidRPr="005C2884" w14:paraId="0781C999" w14:textId="77777777" w:rsidTr="00F712FC">
        <w:tc>
          <w:tcPr>
            <w:tcW w:w="410" w:type="pct"/>
          </w:tcPr>
          <w:p w14:paraId="4A78AB5A"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3.1.</w:t>
            </w:r>
          </w:p>
        </w:tc>
        <w:tc>
          <w:tcPr>
            <w:tcW w:w="4471" w:type="pct"/>
          </w:tcPr>
          <w:p w14:paraId="12526DE5"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9" w:type="pct"/>
          </w:tcPr>
          <w:p w14:paraId="7F4EA7A1" w14:textId="77777777" w:rsidR="00241BD9" w:rsidRPr="005C2884" w:rsidRDefault="00241BD9" w:rsidP="00F712FC">
            <w:pPr>
              <w:spacing w:after="200" w:line="276" w:lineRule="auto"/>
              <w:rPr>
                <w:rFonts w:eastAsia="Arial" w:cs="Arial"/>
                <w:i/>
                <w:sz w:val="18"/>
                <w:szCs w:val="18"/>
              </w:rPr>
            </w:pPr>
          </w:p>
        </w:tc>
      </w:tr>
      <w:tr w:rsidR="00241BD9" w:rsidRPr="005C2884" w14:paraId="2A949326" w14:textId="77777777" w:rsidTr="00F712FC">
        <w:tc>
          <w:tcPr>
            <w:tcW w:w="410" w:type="pct"/>
          </w:tcPr>
          <w:p w14:paraId="191F9AAC"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3.2.</w:t>
            </w:r>
          </w:p>
        </w:tc>
        <w:tc>
          <w:tcPr>
            <w:tcW w:w="4471" w:type="pct"/>
          </w:tcPr>
          <w:p w14:paraId="6C7D72C7"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9" w:type="pct"/>
          </w:tcPr>
          <w:p w14:paraId="23A92246" w14:textId="77777777" w:rsidR="00241BD9" w:rsidRPr="005C2884" w:rsidRDefault="00241BD9" w:rsidP="00F712FC">
            <w:pPr>
              <w:spacing w:after="200" w:line="276" w:lineRule="auto"/>
              <w:rPr>
                <w:rFonts w:eastAsia="Arial" w:cs="Arial"/>
                <w:i/>
                <w:sz w:val="18"/>
                <w:szCs w:val="18"/>
              </w:rPr>
            </w:pPr>
          </w:p>
        </w:tc>
      </w:tr>
      <w:tr w:rsidR="00241BD9" w:rsidRPr="005C2884" w14:paraId="119998D9" w14:textId="77777777" w:rsidTr="00F712FC">
        <w:tc>
          <w:tcPr>
            <w:tcW w:w="410" w:type="pct"/>
          </w:tcPr>
          <w:p w14:paraId="20DDE9BB"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3.3.</w:t>
            </w:r>
          </w:p>
        </w:tc>
        <w:tc>
          <w:tcPr>
            <w:tcW w:w="4471" w:type="pct"/>
          </w:tcPr>
          <w:p w14:paraId="7C5C6500"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Zibens spēriens (t.sk., lodveida zibens) – tieša atmosfēras pārsprieguma iedarbība uz apdrošinātajiem priekšmetiem un elektroietaisēm.</w:t>
            </w:r>
          </w:p>
        </w:tc>
        <w:tc>
          <w:tcPr>
            <w:tcW w:w="119" w:type="pct"/>
          </w:tcPr>
          <w:p w14:paraId="7F9BA86F" w14:textId="77777777" w:rsidR="00241BD9" w:rsidRPr="005C2884" w:rsidRDefault="00241BD9" w:rsidP="00F712FC">
            <w:pPr>
              <w:spacing w:after="200" w:line="276" w:lineRule="auto"/>
              <w:rPr>
                <w:rFonts w:eastAsia="Arial" w:cs="Arial"/>
                <w:i/>
                <w:sz w:val="18"/>
                <w:szCs w:val="18"/>
              </w:rPr>
            </w:pPr>
          </w:p>
        </w:tc>
      </w:tr>
      <w:tr w:rsidR="00241BD9" w:rsidRPr="005C2884" w14:paraId="75CA9D08" w14:textId="77777777" w:rsidTr="00F712FC">
        <w:tc>
          <w:tcPr>
            <w:tcW w:w="410" w:type="pct"/>
          </w:tcPr>
          <w:p w14:paraId="4C896D4F"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3.4.</w:t>
            </w:r>
          </w:p>
        </w:tc>
        <w:tc>
          <w:tcPr>
            <w:tcW w:w="4471" w:type="pct"/>
          </w:tcPr>
          <w:p w14:paraId="4F335D8B"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Plūdi – lielākas vai mazākas teritorijas applūšana ar ūdeni, kas pārgājis pāri ūdenstilpņu vai baseinu robežām.</w:t>
            </w:r>
          </w:p>
        </w:tc>
        <w:tc>
          <w:tcPr>
            <w:tcW w:w="119" w:type="pct"/>
          </w:tcPr>
          <w:p w14:paraId="00988247" w14:textId="77777777" w:rsidR="00241BD9" w:rsidRPr="005C2884" w:rsidRDefault="00241BD9" w:rsidP="00F712FC">
            <w:pPr>
              <w:spacing w:after="200" w:line="276" w:lineRule="auto"/>
              <w:rPr>
                <w:rFonts w:eastAsia="Arial" w:cs="Arial"/>
                <w:i/>
                <w:sz w:val="18"/>
                <w:szCs w:val="18"/>
              </w:rPr>
            </w:pPr>
          </w:p>
        </w:tc>
      </w:tr>
      <w:tr w:rsidR="00241BD9" w:rsidRPr="005C2884" w14:paraId="6390BCE2" w14:textId="77777777" w:rsidTr="00F712FC">
        <w:tc>
          <w:tcPr>
            <w:tcW w:w="410" w:type="pct"/>
          </w:tcPr>
          <w:p w14:paraId="78F7216F"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3.5.</w:t>
            </w:r>
          </w:p>
        </w:tc>
        <w:tc>
          <w:tcPr>
            <w:tcW w:w="4471" w:type="pct"/>
          </w:tcPr>
          <w:p w14:paraId="3BCA8980"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9" w:type="pct"/>
          </w:tcPr>
          <w:p w14:paraId="6409B5CF" w14:textId="77777777" w:rsidR="00241BD9" w:rsidRPr="005C2884" w:rsidRDefault="00241BD9" w:rsidP="00F712FC">
            <w:pPr>
              <w:spacing w:after="200" w:line="276" w:lineRule="auto"/>
              <w:rPr>
                <w:rFonts w:eastAsia="Arial" w:cs="Arial"/>
                <w:i/>
                <w:sz w:val="18"/>
                <w:szCs w:val="18"/>
              </w:rPr>
            </w:pPr>
          </w:p>
        </w:tc>
      </w:tr>
      <w:tr w:rsidR="00241BD9" w:rsidRPr="005C2884" w14:paraId="07EEE1EE" w14:textId="77777777" w:rsidTr="00F712FC">
        <w:tc>
          <w:tcPr>
            <w:tcW w:w="410" w:type="pct"/>
          </w:tcPr>
          <w:p w14:paraId="42AB1F84"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3.6</w:t>
            </w:r>
          </w:p>
        </w:tc>
        <w:tc>
          <w:tcPr>
            <w:tcW w:w="4471" w:type="pct"/>
          </w:tcPr>
          <w:p w14:paraId="39E4D6A2"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Zemestrīce – zemes garozas svārstības Latvijas teritorijā.</w:t>
            </w:r>
          </w:p>
        </w:tc>
        <w:tc>
          <w:tcPr>
            <w:tcW w:w="119" w:type="pct"/>
          </w:tcPr>
          <w:p w14:paraId="1B0AC9DD" w14:textId="77777777" w:rsidR="00241BD9" w:rsidRPr="005C2884" w:rsidRDefault="00241BD9" w:rsidP="00F712FC">
            <w:pPr>
              <w:spacing w:after="200" w:line="276" w:lineRule="auto"/>
              <w:rPr>
                <w:rFonts w:eastAsia="Arial" w:cs="Arial"/>
                <w:i/>
                <w:sz w:val="18"/>
                <w:szCs w:val="18"/>
              </w:rPr>
            </w:pPr>
          </w:p>
        </w:tc>
      </w:tr>
      <w:tr w:rsidR="00241BD9" w:rsidRPr="005C2884" w14:paraId="103D329F" w14:textId="77777777" w:rsidTr="00F712FC">
        <w:tc>
          <w:tcPr>
            <w:tcW w:w="410" w:type="pct"/>
          </w:tcPr>
          <w:p w14:paraId="725E153D"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3.7.</w:t>
            </w:r>
          </w:p>
        </w:tc>
        <w:tc>
          <w:tcPr>
            <w:tcW w:w="4471" w:type="pct"/>
          </w:tcPr>
          <w:p w14:paraId="1E61C4B1"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Krusa – dažādas formas, lieluma vai svara ledus gabaliņi, kas nokrīt uz apdrošināto objektu un tādējādi izraisa tā bojāeju vai bojājumu.</w:t>
            </w:r>
          </w:p>
        </w:tc>
        <w:tc>
          <w:tcPr>
            <w:tcW w:w="119" w:type="pct"/>
          </w:tcPr>
          <w:p w14:paraId="27C373C6" w14:textId="77777777" w:rsidR="00241BD9" w:rsidRPr="005C2884" w:rsidRDefault="00241BD9" w:rsidP="00F712FC">
            <w:pPr>
              <w:spacing w:after="200" w:line="276" w:lineRule="auto"/>
              <w:rPr>
                <w:rFonts w:eastAsia="Arial" w:cs="Arial"/>
                <w:i/>
                <w:sz w:val="18"/>
                <w:szCs w:val="18"/>
              </w:rPr>
            </w:pPr>
          </w:p>
        </w:tc>
      </w:tr>
      <w:tr w:rsidR="00241BD9" w:rsidRPr="005C2884" w14:paraId="761DA2BF" w14:textId="77777777" w:rsidTr="00F712FC">
        <w:tc>
          <w:tcPr>
            <w:tcW w:w="410" w:type="pct"/>
          </w:tcPr>
          <w:p w14:paraId="16CBC060" w14:textId="77777777" w:rsidR="00241BD9" w:rsidRPr="005C2884" w:rsidRDefault="00241BD9" w:rsidP="00F712FC">
            <w:pPr>
              <w:spacing w:after="200" w:line="276" w:lineRule="auto"/>
              <w:jc w:val="center"/>
              <w:rPr>
                <w:rFonts w:eastAsia="Arial" w:cs="Arial"/>
                <w:sz w:val="18"/>
                <w:szCs w:val="18"/>
              </w:rPr>
            </w:pPr>
            <w:bookmarkStart w:id="3" w:name="_Hlk106624873"/>
            <w:r w:rsidRPr="005C2884">
              <w:rPr>
                <w:rFonts w:eastAsia="Arial" w:cs="Arial"/>
                <w:sz w:val="18"/>
                <w:szCs w:val="18"/>
              </w:rPr>
              <w:t>3.8.</w:t>
            </w:r>
          </w:p>
        </w:tc>
        <w:tc>
          <w:tcPr>
            <w:tcW w:w="4471" w:type="pct"/>
          </w:tcPr>
          <w:p w14:paraId="219FE8B6"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Koku, mastu vai citu priekšmetu un vielu uzkrišana apdrošinātajiem objektiem, neatkarīgi no iemesla.</w:t>
            </w:r>
          </w:p>
        </w:tc>
        <w:tc>
          <w:tcPr>
            <w:tcW w:w="119" w:type="pct"/>
          </w:tcPr>
          <w:p w14:paraId="0EAF4CB0" w14:textId="77777777" w:rsidR="00241BD9" w:rsidRPr="005C2884" w:rsidRDefault="00241BD9" w:rsidP="00F712FC">
            <w:pPr>
              <w:spacing w:after="200" w:line="276" w:lineRule="auto"/>
              <w:rPr>
                <w:rFonts w:eastAsia="Arial" w:cs="Arial"/>
                <w:i/>
                <w:sz w:val="18"/>
                <w:szCs w:val="18"/>
              </w:rPr>
            </w:pPr>
          </w:p>
        </w:tc>
      </w:tr>
      <w:bookmarkEnd w:id="3"/>
      <w:tr w:rsidR="00241BD9" w:rsidRPr="005C2884" w14:paraId="207C66C5" w14:textId="77777777" w:rsidTr="00F712FC">
        <w:tc>
          <w:tcPr>
            <w:tcW w:w="410" w:type="pct"/>
          </w:tcPr>
          <w:p w14:paraId="69F97D09"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3.9.</w:t>
            </w:r>
          </w:p>
        </w:tc>
        <w:tc>
          <w:tcPr>
            <w:tcW w:w="4471" w:type="pct"/>
          </w:tcPr>
          <w:p w14:paraId="233EA1A8"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Gaisa kuģu, to daļu vai to pārvadājamās kravas uzkrišana apdrošinātajam objektam.</w:t>
            </w:r>
          </w:p>
        </w:tc>
        <w:tc>
          <w:tcPr>
            <w:tcW w:w="119" w:type="pct"/>
          </w:tcPr>
          <w:p w14:paraId="34CC6646" w14:textId="77777777" w:rsidR="00241BD9" w:rsidRPr="005C2884" w:rsidRDefault="00241BD9" w:rsidP="00F712FC">
            <w:pPr>
              <w:spacing w:after="200" w:line="276" w:lineRule="auto"/>
              <w:rPr>
                <w:rFonts w:eastAsia="Arial" w:cs="Arial"/>
                <w:i/>
                <w:sz w:val="18"/>
                <w:szCs w:val="18"/>
              </w:rPr>
            </w:pPr>
          </w:p>
        </w:tc>
      </w:tr>
      <w:tr w:rsidR="00241BD9" w:rsidRPr="005C2884" w14:paraId="7A529268" w14:textId="77777777" w:rsidTr="00F712FC">
        <w:tc>
          <w:tcPr>
            <w:tcW w:w="410" w:type="pct"/>
          </w:tcPr>
          <w:p w14:paraId="5F7F5726"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3.10.</w:t>
            </w:r>
          </w:p>
        </w:tc>
        <w:tc>
          <w:tcPr>
            <w:tcW w:w="4471" w:type="pct"/>
            <w:shd w:val="clear" w:color="auto" w:fill="auto"/>
          </w:tcPr>
          <w:p w14:paraId="333F46DD"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Trešo personu prettiesiska rīcība – zādzība, zādzības mēģinājums, laupīšana, laupīšanas mēģinājums, vandālisms, stiklojuma bojāšana, ļaunprātīga dedzināšana, sprādziena izraisīšana, terorisms un citas trešo personu prettiesiskas rīcības, tīša/netīša īpašuma bojāšana vai iznīcināšana (saskaņā ar Latvijas Republikas krimināltiesību normām). Apdrošināšanas riska “Terorisms” apdrošināšanas atlīdzībai tiek noteikts limits 3 500 000 eiro.</w:t>
            </w:r>
          </w:p>
        </w:tc>
        <w:tc>
          <w:tcPr>
            <w:tcW w:w="119" w:type="pct"/>
          </w:tcPr>
          <w:p w14:paraId="1D8E6201" w14:textId="77777777" w:rsidR="00241BD9" w:rsidRPr="005C2884" w:rsidRDefault="00241BD9" w:rsidP="00F712FC">
            <w:pPr>
              <w:spacing w:after="200" w:line="276" w:lineRule="auto"/>
              <w:rPr>
                <w:rFonts w:eastAsia="Arial" w:cs="Arial"/>
                <w:i/>
                <w:sz w:val="18"/>
                <w:szCs w:val="18"/>
              </w:rPr>
            </w:pPr>
          </w:p>
        </w:tc>
      </w:tr>
      <w:tr w:rsidR="00241BD9" w:rsidRPr="005C2884" w14:paraId="6578595B" w14:textId="77777777" w:rsidTr="00F712FC">
        <w:tc>
          <w:tcPr>
            <w:tcW w:w="410" w:type="pct"/>
          </w:tcPr>
          <w:p w14:paraId="4CC79C03"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3.11.</w:t>
            </w:r>
          </w:p>
        </w:tc>
        <w:tc>
          <w:tcPr>
            <w:tcW w:w="4471" w:type="pct"/>
            <w:shd w:val="clear" w:color="auto" w:fill="auto"/>
          </w:tcPr>
          <w:p w14:paraId="20B8FF3A"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Apdrošināšanas līguma ietvaros netiek atlīdzināti apdrošināto objektu iekšēju elektrisku vai mehānisku bojājumu, kļūmju, atteices vai salūšanas, pārsprieguma, īssavienojuma vai pārkaršanas dēļ apdrošināšanas objekta dzinējā, mehānismos vai elektroietaisēs, novēršanas izdevumi. </w:t>
            </w:r>
          </w:p>
          <w:p w14:paraId="74240944"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119" w:type="pct"/>
          </w:tcPr>
          <w:p w14:paraId="2584748F" w14:textId="77777777" w:rsidR="00241BD9" w:rsidRPr="005C2884" w:rsidRDefault="00241BD9" w:rsidP="00F712FC">
            <w:pPr>
              <w:spacing w:after="200" w:line="276" w:lineRule="auto"/>
              <w:rPr>
                <w:rFonts w:eastAsia="Arial" w:cs="Arial"/>
                <w:i/>
                <w:sz w:val="18"/>
                <w:szCs w:val="18"/>
              </w:rPr>
            </w:pPr>
          </w:p>
        </w:tc>
      </w:tr>
      <w:tr w:rsidR="00241BD9" w:rsidRPr="005C2884" w14:paraId="5AB39FD6" w14:textId="77777777" w:rsidTr="00F712FC">
        <w:tc>
          <w:tcPr>
            <w:tcW w:w="410" w:type="pct"/>
          </w:tcPr>
          <w:p w14:paraId="5508D5DE"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4.</w:t>
            </w:r>
          </w:p>
        </w:tc>
        <w:tc>
          <w:tcPr>
            <w:tcW w:w="4471" w:type="pct"/>
            <w:shd w:val="clear" w:color="auto" w:fill="auto"/>
          </w:tcPr>
          <w:p w14:paraId="4F018F5F" w14:textId="77777777" w:rsidR="00241BD9" w:rsidRPr="005C2884" w:rsidRDefault="00241BD9" w:rsidP="00F712FC">
            <w:pPr>
              <w:widowControl w:val="0"/>
              <w:tabs>
                <w:tab w:val="num" w:pos="993"/>
              </w:tabs>
              <w:adjustRightInd w:val="0"/>
              <w:spacing w:after="200" w:line="276" w:lineRule="auto"/>
              <w:jc w:val="both"/>
              <w:textAlignment w:val="baseline"/>
              <w:rPr>
                <w:rFonts w:eastAsia="Arial" w:cs="Arial"/>
                <w:b/>
                <w:sz w:val="18"/>
                <w:szCs w:val="18"/>
              </w:rPr>
            </w:pPr>
            <w:r w:rsidRPr="005C2884">
              <w:rPr>
                <w:rFonts w:eastAsia="Arial" w:cs="Arial"/>
                <w:b/>
                <w:sz w:val="18"/>
                <w:szCs w:val="18"/>
              </w:rPr>
              <w:t>Pašrisks katram apdrošināšanas gadījumam:</w:t>
            </w:r>
          </w:p>
        </w:tc>
        <w:tc>
          <w:tcPr>
            <w:tcW w:w="119" w:type="pct"/>
          </w:tcPr>
          <w:p w14:paraId="09E614AB" w14:textId="77777777" w:rsidR="00241BD9" w:rsidRPr="005C2884" w:rsidRDefault="00241BD9" w:rsidP="00F712FC">
            <w:pPr>
              <w:spacing w:after="200" w:line="276" w:lineRule="auto"/>
              <w:rPr>
                <w:rFonts w:eastAsia="Arial" w:cs="Arial"/>
                <w:i/>
                <w:sz w:val="18"/>
                <w:szCs w:val="18"/>
              </w:rPr>
            </w:pPr>
          </w:p>
        </w:tc>
      </w:tr>
      <w:tr w:rsidR="00241BD9" w:rsidRPr="005C2884" w14:paraId="03F3970D" w14:textId="77777777" w:rsidTr="00F712FC">
        <w:tc>
          <w:tcPr>
            <w:tcW w:w="410" w:type="pct"/>
          </w:tcPr>
          <w:p w14:paraId="3807CC07"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w:t>
            </w:r>
          </w:p>
          <w:p w14:paraId="1E2B08FA"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4.1.1.</w:t>
            </w:r>
          </w:p>
        </w:tc>
        <w:tc>
          <w:tcPr>
            <w:tcW w:w="4471" w:type="pct"/>
            <w:shd w:val="clear" w:color="auto" w:fill="auto"/>
          </w:tcPr>
          <w:p w14:paraId="74042FE4"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Varianti</w:t>
            </w:r>
          </w:p>
          <w:p w14:paraId="5FAE2C32"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EUR 500</w:t>
            </w:r>
          </w:p>
        </w:tc>
        <w:tc>
          <w:tcPr>
            <w:tcW w:w="119" w:type="pct"/>
          </w:tcPr>
          <w:p w14:paraId="37E2696F" w14:textId="77777777" w:rsidR="00241BD9" w:rsidRPr="005C2884" w:rsidRDefault="00241BD9" w:rsidP="00F712FC">
            <w:pPr>
              <w:spacing w:after="200" w:line="276" w:lineRule="auto"/>
              <w:rPr>
                <w:rFonts w:eastAsia="Arial" w:cs="Arial"/>
                <w:i/>
                <w:sz w:val="18"/>
                <w:szCs w:val="18"/>
              </w:rPr>
            </w:pPr>
          </w:p>
        </w:tc>
      </w:tr>
      <w:tr w:rsidR="00241BD9" w:rsidRPr="005C2884" w14:paraId="0B81352D" w14:textId="77777777" w:rsidTr="00F712FC">
        <w:tc>
          <w:tcPr>
            <w:tcW w:w="410" w:type="pct"/>
          </w:tcPr>
          <w:p w14:paraId="32F68B64"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4.2.</w:t>
            </w:r>
          </w:p>
        </w:tc>
        <w:tc>
          <w:tcPr>
            <w:tcW w:w="4471" w:type="pct"/>
            <w:shd w:val="clear" w:color="auto" w:fill="auto"/>
          </w:tcPr>
          <w:p w14:paraId="374E419D"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 viena apdrošināšanas riska iedarbības rezultātā (piemēram, vētra) tiek bojāti vairāki apdrošinātie objekti, tad tiek piemērots viens polisē norādītais pašrisks.</w:t>
            </w:r>
          </w:p>
        </w:tc>
        <w:tc>
          <w:tcPr>
            <w:tcW w:w="119" w:type="pct"/>
          </w:tcPr>
          <w:p w14:paraId="5037E60C" w14:textId="77777777" w:rsidR="00241BD9" w:rsidRPr="005C2884" w:rsidRDefault="00241BD9" w:rsidP="00F712FC">
            <w:pPr>
              <w:spacing w:after="200" w:line="276" w:lineRule="auto"/>
              <w:rPr>
                <w:rFonts w:eastAsia="Arial" w:cs="Arial"/>
                <w:i/>
                <w:sz w:val="18"/>
                <w:szCs w:val="18"/>
              </w:rPr>
            </w:pPr>
          </w:p>
        </w:tc>
      </w:tr>
      <w:tr w:rsidR="00241BD9" w:rsidRPr="005C2884" w14:paraId="3EE120E0" w14:textId="77777777" w:rsidTr="00F712FC">
        <w:tc>
          <w:tcPr>
            <w:tcW w:w="410" w:type="pct"/>
          </w:tcPr>
          <w:p w14:paraId="76E1B884"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5.</w:t>
            </w:r>
          </w:p>
        </w:tc>
        <w:tc>
          <w:tcPr>
            <w:tcW w:w="4471" w:type="pct"/>
            <w:shd w:val="clear" w:color="auto" w:fill="auto"/>
          </w:tcPr>
          <w:p w14:paraId="4C70907F" w14:textId="77777777" w:rsidR="00241BD9" w:rsidRPr="005C2884" w:rsidRDefault="00241BD9" w:rsidP="00F712FC">
            <w:pPr>
              <w:widowControl w:val="0"/>
              <w:tabs>
                <w:tab w:val="num" w:pos="993"/>
              </w:tabs>
              <w:adjustRightInd w:val="0"/>
              <w:spacing w:after="200" w:line="276" w:lineRule="auto"/>
              <w:textAlignment w:val="baseline"/>
              <w:rPr>
                <w:rFonts w:eastAsia="Arial" w:cs="Arial"/>
                <w:b/>
                <w:sz w:val="18"/>
                <w:szCs w:val="18"/>
              </w:rPr>
            </w:pPr>
            <w:r w:rsidRPr="005C2884">
              <w:rPr>
                <w:rFonts w:eastAsia="Arial" w:cs="Arial"/>
                <w:b/>
                <w:sz w:val="18"/>
                <w:szCs w:val="18"/>
              </w:rPr>
              <w:t>Apdrošināšanas atlīdzības aprēķināšanas principi un metodika:</w:t>
            </w:r>
          </w:p>
        </w:tc>
        <w:tc>
          <w:tcPr>
            <w:tcW w:w="119" w:type="pct"/>
          </w:tcPr>
          <w:p w14:paraId="15642B63" w14:textId="77777777" w:rsidR="00241BD9" w:rsidRPr="005C2884" w:rsidRDefault="00241BD9" w:rsidP="00F712FC">
            <w:pPr>
              <w:spacing w:after="200" w:line="276" w:lineRule="auto"/>
              <w:rPr>
                <w:rFonts w:eastAsia="Arial" w:cs="Arial"/>
                <w:i/>
                <w:sz w:val="18"/>
                <w:szCs w:val="18"/>
              </w:rPr>
            </w:pPr>
          </w:p>
        </w:tc>
      </w:tr>
      <w:tr w:rsidR="00241BD9" w:rsidRPr="005C2884" w14:paraId="4E96D1AF" w14:textId="77777777" w:rsidTr="00F712FC">
        <w:tc>
          <w:tcPr>
            <w:tcW w:w="410" w:type="pct"/>
          </w:tcPr>
          <w:p w14:paraId="5DB6F5C8"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5.1.</w:t>
            </w:r>
          </w:p>
        </w:tc>
        <w:tc>
          <w:tcPr>
            <w:tcW w:w="4471" w:type="pct"/>
          </w:tcPr>
          <w:p w14:paraId="4EFFF3A4"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Bojājumu gadījumā remonta izdevumi (bez PVN) atbilstoši Pasūtītāja sastādītajai tāmei, kas nepieciešami, lai apdrošināšanas objektu atjaunotu tādā stāvoklī, kādā tā bija pirms apdrošināšanas gadījuma, neņemot vērā zemapdrošināšanu un tehnisko nolietojumu. Remonts tiek veikts ar jaunām transportlīdzekļa ražotāja rezerves daļām, neatkarīgi no transporta līdzekļa vecuma. </w:t>
            </w:r>
          </w:p>
        </w:tc>
        <w:tc>
          <w:tcPr>
            <w:tcW w:w="119" w:type="pct"/>
          </w:tcPr>
          <w:p w14:paraId="4C32A954" w14:textId="77777777" w:rsidR="00241BD9" w:rsidRPr="005C2884" w:rsidRDefault="00241BD9" w:rsidP="00F712FC">
            <w:pPr>
              <w:spacing w:after="200" w:line="276" w:lineRule="auto"/>
              <w:rPr>
                <w:rFonts w:eastAsia="Arial" w:cs="Arial"/>
                <w:i/>
                <w:sz w:val="18"/>
                <w:szCs w:val="18"/>
              </w:rPr>
            </w:pPr>
          </w:p>
        </w:tc>
      </w:tr>
      <w:tr w:rsidR="00241BD9" w:rsidRPr="005C2884" w14:paraId="1566E1EA" w14:textId="77777777" w:rsidTr="00F712FC">
        <w:tc>
          <w:tcPr>
            <w:tcW w:w="410" w:type="pct"/>
          </w:tcPr>
          <w:p w14:paraId="0AF6FC12"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5.2.</w:t>
            </w:r>
          </w:p>
        </w:tc>
        <w:tc>
          <w:tcPr>
            <w:tcW w:w="4471" w:type="pct"/>
          </w:tcPr>
          <w:p w14:paraId="4030FBAE"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Jaunvērtības apdrošināšana Pasūtītāja bilancē pirmo reizi reģistrētiem jauniem transportlīdzekļiem 5 gadu periodā kopš transportlīdzekļa pirmās reģistrācijas. Aprēķinot apdrošināšanas atlīdzību bojāejas vai zādzības gadījumā netiek piemērots nolietojums, un apdrošināšanas atlīdzība tiek izmaksāta jauniegādes vērtībā.</w:t>
            </w:r>
          </w:p>
        </w:tc>
        <w:tc>
          <w:tcPr>
            <w:tcW w:w="119" w:type="pct"/>
          </w:tcPr>
          <w:p w14:paraId="32342471" w14:textId="77777777" w:rsidR="00241BD9" w:rsidRPr="005C2884" w:rsidRDefault="00241BD9" w:rsidP="00F712FC">
            <w:pPr>
              <w:spacing w:after="200" w:line="276" w:lineRule="auto"/>
              <w:rPr>
                <w:rFonts w:eastAsia="Arial" w:cs="Arial"/>
                <w:i/>
                <w:sz w:val="18"/>
                <w:szCs w:val="18"/>
              </w:rPr>
            </w:pPr>
          </w:p>
        </w:tc>
      </w:tr>
      <w:tr w:rsidR="00241BD9" w:rsidRPr="005C2884" w14:paraId="26C6BE90" w14:textId="77777777" w:rsidTr="00F712FC">
        <w:tc>
          <w:tcPr>
            <w:tcW w:w="410" w:type="pct"/>
          </w:tcPr>
          <w:p w14:paraId="26F57FD6"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5.3.</w:t>
            </w:r>
          </w:p>
        </w:tc>
        <w:tc>
          <w:tcPr>
            <w:tcW w:w="4471" w:type="pct"/>
          </w:tcPr>
          <w:p w14:paraId="33360691"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Izmaksājot apdrošināšanas atlīdzību attiecībā uz transportlīdzekļiem virs 5 gadu vecuma, apdrošināšanas atlīdzība transportlīdzekļa bojāejas vai zādzības gadījumā tiek aprēķināta, no polisē norādītās apdrošināšanas summas atņemot nolietojumu 1% apmērā mēnesī.</w:t>
            </w:r>
          </w:p>
        </w:tc>
        <w:tc>
          <w:tcPr>
            <w:tcW w:w="119" w:type="pct"/>
          </w:tcPr>
          <w:p w14:paraId="3AA6A9A4" w14:textId="77777777" w:rsidR="00241BD9" w:rsidRPr="005C2884" w:rsidRDefault="00241BD9" w:rsidP="00F712FC">
            <w:pPr>
              <w:spacing w:after="200" w:line="276" w:lineRule="auto"/>
              <w:rPr>
                <w:rFonts w:eastAsia="Arial" w:cs="Arial"/>
                <w:i/>
                <w:sz w:val="18"/>
                <w:szCs w:val="18"/>
              </w:rPr>
            </w:pPr>
          </w:p>
        </w:tc>
      </w:tr>
      <w:tr w:rsidR="00241BD9" w:rsidRPr="005C2884" w14:paraId="75B03457" w14:textId="77777777" w:rsidTr="00F712FC">
        <w:tc>
          <w:tcPr>
            <w:tcW w:w="410" w:type="pct"/>
          </w:tcPr>
          <w:p w14:paraId="318966D1"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6.</w:t>
            </w:r>
          </w:p>
        </w:tc>
        <w:tc>
          <w:tcPr>
            <w:tcW w:w="4471" w:type="pct"/>
          </w:tcPr>
          <w:p w14:paraId="7F3A24DB"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 xml:space="preserve">Apdrošināšanas objektu saraksta papildināšana </w:t>
            </w:r>
            <w:r w:rsidRPr="005C2884">
              <w:rPr>
                <w:rFonts w:eastAsia="Arial" w:cs="Arial"/>
                <w:sz w:val="18"/>
                <w:szCs w:val="18"/>
                <w:lang w:eastAsia="zh-CN"/>
              </w:rPr>
              <w:t>– apdrošināšanas līguma laikā pēc Pieprasījuma tiks nodrošināta arī citu, 1.2. punktā nenosaukto,  jauniegādātu transporta līdzekļu apdrošināšana.</w:t>
            </w:r>
          </w:p>
        </w:tc>
        <w:tc>
          <w:tcPr>
            <w:tcW w:w="119" w:type="pct"/>
          </w:tcPr>
          <w:p w14:paraId="74A4E9F4" w14:textId="77777777" w:rsidR="00241BD9" w:rsidRPr="005C2884" w:rsidRDefault="00241BD9" w:rsidP="00F712FC">
            <w:pPr>
              <w:spacing w:after="200" w:line="276" w:lineRule="auto"/>
              <w:rPr>
                <w:rFonts w:eastAsia="Arial" w:cs="Arial"/>
                <w:i/>
                <w:sz w:val="18"/>
                <w:szCs w:val="18"/>
              </w:rPr>
            </w:pPr>
          </w:p>
        </w:tc>
      </w:tr>
      <w:tr w:rsidR="00241BD9" w:rsidRPr="005C2884" w14:paraId="6EDC12C1" w14:textId="77777777" w:rsidTr="00F712FC">
        <w:tc>
          <w:tcPr>
            <w:tcW w:w="410" w:type="pct"/>
          </w:tcPr>
          <w:p w14:paraId="03D4F3CE"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6.1.</w:t>
            </w:r>
          </w:p>
        </w:tc>
        <w:tc>
          <w:tcPr>
            <w:tcW w:w="4471" w:type="pct"/>
          </w:tcPr>
          <w:p w14:paraId="1B99E59A"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prēmija par jauniegādāto transporta līdzekļu apdrošināšana tiek noteikta, piemērojot finanšu piedāvājumā norādīto 1.2. punktā nosaukto apdrošināšanas objektu prēmijas likmi tieši proporcionāli (pēc dienu skaita) periodam, kas atlicis līdz polises apdrošināšanas termiņa beigām.</w:t>
            </w:r>
          </w:p>
        </w:tc>
        <w:tc>
          <w:tcPr>
            <w:tcW w:w="119" w:type="pct"/>
          </w:tcPr>
          <w:p w14:paraId="7A0A0E86" w14:textId="77777777" w:rsidR="00241BD9" w:rsidRPr="005C2884" w:rsidRDefault="00241BD9" w:rsidP="00F712FC">
            <w:pPr>
              <w:spacing w:after="200" w:line="276" w:lineRule="auto"/>
              <w:rPr>
                <w:rFonts w:eastAsia="Arial" w:cs="Arial"/>
                <w:i/>
                <w:sz w:val="18"/>
                <w:szCs w:val="18"/>
              </w:rPr>
            </w:pPr>
          </w:p>
        </w:tc>
      </w:tr>
      <w:tr w:rsidR="00241BD9" w:rsidRPr="005C2884" w14:paraId="4FD8147B" w14:textId="77777777" w:rsidTr="00F712FC">
        <w:tc>
          <w:tcPr>
            <w:tcW w:w="410" w:type="pct"/>
          </w:tcPr>
          <w:p w14:paraId="0BC85B7F"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7.</w:t>
            </w:r>
          </w:p>
        </w:tc>
        <w:tc>
          <w:tcPr>
            <w:tcW w:w="4471" w:type="pct"/>
          </w:tcPr>
          <w:p w14:paraId="206AC179"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segums tiks nodrošināts, neizvirzot papildus prasības attiecībā uz apdrošināšanas objektu atrašanās vietu (laikā, kad tie nepiedalās ceļu satiksmē)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tc>
        <w:tc>
          <w:tcPr>
            <w:tcW w:w="119" w:type="pct"/>
          </w:tcPr>
          <w:p w14:paraId="3A8D0A7C" w14:textId="77777777" w:rsidR="00241BD9" w:rsidRPr="005C2884" w:rsidRDefault="00241BD9" w:rsidP="00F712FC">
            <w:pPr>
              <w:spacing w:after="200" w:line="276" w:lineRule="auto"/>
              <w:rPr>
                <w:rFonts w:eastAsia="Arial" w:cs="Arial"/>
                <w:i/>
                <w:sz w:val="18"/>
                <w:szCs w:val="18"/>
              </w:rPr>
            </w:pPr>
          </w:p>
        </w:tc>
      </w:tr>
      <w:tr w:rsidR="00241BD9" w:rsidRPr="005C2884" w14:paraId="528DCEBC" w14:textId="77777777" w:rsidTr="00F712FC">
        <w:tc>
          <w:tcPr>
            <w:tcW w:w="410" w:type="pct"/>
          </w:tcPr>
          <w:p w14:paraId="2F969FEE"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8.</w:t>
            </w:r>
          </w:p>
        </w:tc>
        <w:tc>
          <w:tcPr>
            <w:tcW w:w="4471" w:type="pct"/>
          </w:tcPr>
          <w:p w14:paraId="408240DB"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3.10. punkta ietvaros 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119" w:type="pct"/>
          </w:tcPr>
          <w:p w14:paraId="5FFEF1C4" w14:textId="77777777" w:rsidR="00241BD9" w:rsidRPr="005C2884" w:rsidRDefault="00241BD9" w:rsidP="00F712FC">
            <w:pPr>
              <w:spacing w:after="200" w:line="276" w:lineRule="auto"/>
              <w:rPr>
                <w:rFonts w:eastAsia="Arial" w:cs="Arial"/>
                <w:i/>
                <w:sz w:val="18"/>
                <w:szCs w:val="18"/>
              </w:rPr>
            </w:pPr>
          </w:p>
        </w:tc>
      </w:tr>
      <w:tr w:rsidR="00241BD9" w:rsidRPr="005C2884" w14:paraId="6083017B" w14:textId="77777777" w:rsidTr="00F712FC">
        <w:tc>
          <w:tcPr>
            <w:tcW w:w="410" w:type="pct"/>
          </w:tcPr>
          <w:p w14:paraId="2540D6AB"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9.</w:t>
            </w:r>
          </w:p>
        </w:tc>
        <w:tc>
          <w:tcPr>
            <w:tcW w:w="4471" w:type="pct"/>
          </w:tcPr>
          <w:p w14:paraId="437825D4"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3.10. punkta ietvaros tiek segti arī pasažieru un jebkuru citu personu, kas nav Pasūtītāja darbinieki un kurām tiek piešķirtas apdrošināto objektu lietošanas tiesības, nodarīti zaudējumi, tai skaitā, to rupjas neuzmanības un tīšas rīcības rezultātā.</w:t>
            </w:r>
          </w:p>
        </w:tc>
        <w:tc>
          <w:tcPr>
            <w:tcW w:w="119" w:type="pct"/>
          </w:tcPr>
          <w:p w14:paraId="73500955" w14:textId="77777777" w:rsidR="00241BD9" w:rsidRPr="005C2884" w:rsidRDefault="00241BD9" w:rsidP="00F712FC">
            <w:pPr>
              <w:spacing w:after="200" w:line="276" w:lineRule="auto"/>
              <w:rPr>
                <w:rFonts w:eastAsia="Arial" w:cs="Arial"/>
                <w:i/>
                <w:sz w:val="18"/>
                <w:szCs w:val="18"/>
              </w:rPr>
            </w:pPr>
          </w:p>
        </w:tc>
      </w:tr>
      <w:tr w:rsidR="00241BD9" w:rsidRPr="005C2884" w14:paraId="34850A18" w14:textId="77777777" w:rsidTr="00F712FC">
        <w:tc>
          <w:tcPr>
            <w:tcW w:w="410" w:type="pct"/>
          </w:tcPr>
          <w:p w14:paraId="1CDCB26A"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10.</w:t>
            </w:r>
          </w:p>
        </w:tc>
        <w:tc>
          <w:tcPr>
            <w:tcW w:w="4471" w:type="pct"/>
          </w:tcPr>
          <w:p w14:paraId="59B5411B"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gadījuma pieteikšanas minimālais termiņš – 5 (piecas) darba dienas no apdrošināšanas gadījuma konstatēšanas brīža.</w:t>
            </w:r>
          </w:p>
        </w:tc>
        <w:tc>
          <w:tcPr>
            <w:tcW w:w="119" w:type="pct"/>
          </w:tcPr>
          <w:p w14:paraId="198F9648" w14:textId="77777777" w:rsidR="00241BD9" w:rsidRPr="005C2884" w:rsidRDefault="00241BD9" w:rsidP="00F712FC">
            <w:pPr>
              <w:spacing w:after="200" w:line="276" w:lineRule="auto"/>
              <w:rPr>
                <w:rFonts w:eastAsia="Arial" w:cs="Arial"/>
                <w:i/>
                <w:sz w:val="18"/>
                <w:szCs w:val="18"/>
              </w:rPr>
            </w:pPr>
          </w:p>
        </w:tc>
      </w:tr>
      <w:tr w:rsidR="00241BD9" w:rsidRPr="005C2884" w14:paraId="76AC09E9" w14:textId="77777777" w:rsidTr="00F712FC">
        <w:tc>
          <w:tcPr>
            <w:tcW w:w="410" w:type="pct"/>
          </w:tcPr>
          <w:p w14:paraId="6EE10E90"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11.</w:t>
            </w:r>
          </w:p>
        </w:tc>
        <w:tc>
          <w:tcPr>
            <w:tcW w:w="4471" w:type="pct"/>
          </w:tcPr>
          <w:p w14:paraId="4AF88DF8"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Subrogācijas prasība par izmaksāto atlīdzību netiek vērsta pret Pasūtītāja darbiniekiem, izņemot, ja tie ir rīkojušies tīši, ļaunprātīgi vai rupji neuzmanīgi.</w:t>
            </w:r>
          </w:p>
        </w:tc>
        <w:tc>
          <w:tcPr>
            <w:tcW w:w="119" w:type="pct"/>
          </w:tcPr>
          <w:p w14:paraId="3C6B2D0C" w14:textId="77777777" w:rsidR="00241BD9" w:rsidRPr="005C2884" w:rsidRDefault="00241BD9" w:rsidP="00F712FC">
            <w:pPr>
              <w:spacing w:after="200" w:line="276" w:lineRule="auto"/>
              <w:rPr>
                <w:rFonts w:eastAsia="Arial" w:cs="Arial"/>
                <w:i/>
                <w:sz w:val="18"/>
                <w:szCs w:val="18"/>
              </w:rPr>
            </w:pPr>
          </w:p>
        </w:tc>
      </w:tr>
      <w:tr w:rsidR="00241BD9" w:rsidRPr="005C2884" w14:paraId="206BE3FE" w14:textId="77777777" w:rsidTr="00F712FC">
        <w:tc>
          <w:tcPr>
            <w:tcW w:w="410" w:type="pct"/>
          </w:tcPr>
          <w:p w14:paraId="410526B5" w14:textId="77777777" w:rsidR="00241BD9" w:rsidRPr="005C2884" w:rsidRDefault="00241BD9" w:rsidP="00F712FC">
            <w:pPr>
              <w:suppressAutoHyphens/>
              <w:autoSpaceDE w:val="0"/>
              <w:spacing w:after="200" w:line="276" w:lineRule="auto"/>
              <w:jc w:val="center"/>
              <w:rPr>
                <w:rFonts w:eastAsia="Arial" w:cs="Arial"/>
                <w:sz w:val="18"/>
                <w:szCs w:val="18"/>
                <w:lang w:eastAsia="zh-CN"/>
              </w:rPr>
            </w:pPr>
            <w:r w:rsidRPr="005C2884">
              <w:rPr>
                <w:rFonts w:eastAsia="Arial" w:cs="Arial"/>
                <w:sz w:val="18"/>
                <w:szCs w:val="18"/>
                <w:lang w:eastAsia="zh-CN"/>
              </w:rPr>
              <w:t>12.</w:t>
            </w:r>
          </w:p>
        </w:tc>
        <w:tc>
          <w:tcPr>
            <w:tcW w:w="4471" w:type="pct"/>
          </w:tcPr>
          <w:p w14:paraId="7DAAB95A"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Jebkādu papildus apakšlimitu piemērošana šajās minimālajās prasībās noteiktajiem pretendenta tehniskajā piedāvājumā netiek pieļauta.</w:t>
            </w:r>
          </w:p>
        </w:tc>
        <w:tc>
          <w:tcPr>
            <w:tcW w:w="119" w:type="pct"/>
          </w:tcPr>
          <w:p w14:paraId="1995BC77" w14:textId="77777777" w:rsidR="00241BD9" w:rsidRPr="005C2884" w:rsidRDefault="00241BD9" w:rsidP="00F712FC">
            <w:pPr>
              <w:spacing w:after="200" w:line="276" w:lineRule="auto"/>
              <w:rPr>
                <w:rFonts w:eastAsia="Arial" w:cs="Arial"/>
                <w:i/>
                <w:sz w:val="18"/>
                <w:szCs w:val="18"/>
              </w:rPr>
            </w:pPr>
          </w:p>
        </w:tc>
      </w:tr>
      <w:tr w:rsidR="00241BD9" w:rsidRPr="005C2884" w14:paraId="2C3D68BF" w14:textId="77777777" w:rsidTr="00F712FC">
        <w:tc>
          <w:tcPr>
            <w:tcW w:w="410" w:type="pct"/>
          </w:tcPr>
          <w:p w14:paraId="66165B0B"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b/>
                <w:sz w:val="18"/>
                <w:szCs w:val="18"/>
              </w:rPr>
              <w:t>II.II.</w:t>
            </w:r>
          </w:p>
        </w:tc>
        <w:tc>
          <w:tcPr>
            <w:tcW w:w="4471" w:type="pct"/>
          </w:tcPr>
          <w:p w14:paraId="02AF91B0" w14:textId="77777777" w:rsidR="00241BD9" w:rsidRPr="005C2884" w:rsidRDefault="00241BD9" w:rsidP="00F712FC">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ĪPAŠUMA APDROŠINĀŠANA (sabiedriskā transporta līdzekļi: tramvaji, trolejbusi, autobusi) – Apdrošināšanas vērtības</w:t>
            </w:r>
            <w:r>
              <w:rPr>
                <w:rFonts w:eastAsia="Arial" w:cs="Arial"/>
                <w:b/>
                <w:sz w:val="18"/>
                <w:szCs w:val="18"/>
                <w:lang w:eastAsia="zh-CN"/>
              </w:rPr>
              <w:t xml:space="preserve"> – Pieņemtā vērtība (agreed value)</w:t>
            </w:r>
          </w:p>
        </w:tc>
        <w:tc>
          <w:tcPr>
            <w:tcW w:w="119" w:type="pct"/>
          </w:tcPr>
          <w:p w14:paraId="2474B480" w14:textId="77777777" w:rsidR="00241BD9" w:rsidRPr="005C2884" w:rsidRDefault="00241BD9" w:rsidP="00F712FC">
            <w:pPr>
              <w:spacing w:after="200" w:line="276" w:lineRule="auto"/>
              <w:rPr>
                <w:rFonts w:eastAsia="Arial" w:cs="Arial"/>
                <w:i/>
                <w:sz w:val="18"/>
                <w:szCs w:val="18"/>
              </w:rPr>
            </w:pPr>
          </w:p>
        </w:tc>
      </w:tr>
      <w:tr w:rsidR="00241BD9" w:rsidRPr="005C2884" w14:paraId="09CC8F44" w14:textId="77777777" w:rsidTr="00F712FC">
        <w:tc>
          <w:tcPr>
            <w:tcW w:w="410" w:type="pct"/>
          </w:tcPr>
          <w:p w14:paraId="4AE8347D" w14:textId="77777777" w:rsidR="00241BD9" w:rsidRPr="005C2884" w:rsidRDefault="00241BD9" w:rsidP="00F712FC">
            <w:pPr>
              <w:spacing w:after="200" w:line="276" w:lineRule="auto"/>
              <w:jc w:val="center"/>
              <w:rPr>
                <w:rFonts w:eastAsia="Arial" w:cs="Arial"/>
                <w:b/>
                <w:sz w:val="18"/>
                <w:szCs w:val="18"/>
              </w:rPr>
            </w:pPr>
          </w:p>
        </w:tc>
        <w:tc>
          <w:tcPr>
            <w:tcW w:w="4471" w:type="pct"/>
          </w:tcPr>
          <w:p w14:paraId="493275BA"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Nosaukto risku apdrošināšana.</w:t>
            </w:r>
          </w:p>
        </w:tc>
        <w:tc>
          <w:tcPr>
            <w:tcW w:w="119" w:type="pct"/>
          </w:tcPr>
          <w:p w14:paraId="2FDB4400" w14:textId="77777777" w:rsidR="00241BD9" w:rsidRPr="005C2884" w:rsidRDefault="00241BD9" w:rsidP="00F712FC">
            <w:pPr>
              <w:spacing w:after="200" w:line="276" w:lineRule="auto"/>
              <w:rPr>
                <w:rFonts w:eastAsia="Arial" w:cs="Arial"/>
                <w:i/>
                <w:sz w:val="18"/>
                <w:szCs w:val="18"/>
              </w:rPr>
            </w:pPr>
          </w:p>
        </w:tc>
      </w:tr>
      <w:tr w:rsidR="00241BD9" w:rsidRPr="005C2884" w14:paraId="39B5983D" w14:textId="77777777" w:rsidTr="00F712FC">
        <w:tc>
          <w:tcPr>
            <w:tcW w:w="410" w:type="pct"/>
          </w:tcPr>
          <w:p w14:paraId="07A0E053" w14:textId="77777777" w:rsidR="00241BD9" w:rsidRPr="005C2884" w:rsidRDefault="00241BD9" w:rsidP="00F712FC">
            <w:pPr>
              <w:suppressAutoHyphens/>
              <w:autoSpaceDE w:val="0"/>
              <w:spacing w:after="200" w:line="276" w:lineRule="auto"/>
              <w:jc w:val="center"/>
              <w:rPr>
                <w:rFonts w:eastAsia="Arial" w:cs="Arial"/>
                <w:b/>
                <w:sz w:val="18"/>
                <w:szCs w:val="18"/>
                <w:lang w:eastAsia="zh-CN"/>
              </w:rPr>
            </w:pPr>
            <w:r w:rsidRPr="005C2884">
              <w:rPr>
                <w:rFonts w:eastAsia="Arial" w:cs="Arial"/>
                <w:b/>
                <w:sz w:val="18"/>
                <w:szCs w:val="18"/>
              </w:rPr>
              <w:t>1.</w:t>
            </w:r>
          </w:p>
        </w:tc>
        <w:tc>
          <w:tcPr>
            <w:tcW w:w="4471" w:type="pct"/>
          </w:tcPr>
          <w:p w14:paraId="41CA819B" w14:textId="77777777" w:rsidR="00241BD9" w:rsidRPr="005C2884" w:rsidRDefault="00241BD9" w:rsidP="00F712FC">
            <w:pPr>
              <w:suppressAutoHyphens/>
              <w:autoSpaceDE w:val="0"/>
              <w:spacing w:after="200" w:line="276" w:lineRule="auto"/>
              <w:jc w:val="both"/>
              <w:rPr>
                <w:rFonts w:eastAsia="Arial" w:cs="Arial"/>
                <w:b/>
                <w:sz w:val="18"/>
                <w:szCs w:val="18"/>
                <w:lang w:eastAsia="zh-CN"/>
              </w:rPr>
            </w:pPr>
            <w:r w:rsidRPr="005C2884">
              <w:rPr>
                <w:rFonts w:eastAsia="Arial" w:cs="Arial"/>
                <w:b/>
                <w:sz w:val="18"/>
                <w:szCs w:val="18"/>
                <w:lang w:eastAsia="zh-CN"/>
              </w:rPr>
              <w:t>Apdrošināšanas objekts, apdrošināšanas summa</w:t>
            </w:r>
            <w:r w:rsidRPr="005C2884">
              <w:rPr>
                <w:rFonts w:eastAsia="Arial" w:cs="Arial"/>
                <w:sz w:val="18"/>
                <w:szCs w:val="18"/>
                <w:lang w:eastAsia="zh-CN"/>
              </w:rPr>
              <w:t>: 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uzskaitīti uzņēmuma bilancē</w:t>
            </w:r>
            <w:r w:rsidRPr="005C2884">
              <w:rPr>
                <w:rFonts w:eastAsia="Arial" w:cs="Arial"/>
                <w:sz w:val="18"/>
                <w:szCs w:val="18"/>
                <w:lang w:eastAsia="zh-CN"/>
              </w:rPr>
              <w:t xml:space="preserve"> </w:t>
            </w:r>
            <w:r w:rsidRPr="005C2884">
              <w:rPr>
                <w:rFonts w:eastAsia="Arial" w:cs="Arial"/>
                <w:b/>
                <w:bCs/>
                <w:sz w:val="18"/>
                <w:szCs w:val="18"/>
                <w:lang w:eastAsia="zh-CN"/>
              </w:rPr>
              <w:t xml:space="preserve">un </w:t>
            </w:r>
            <w:r>
              <w:rPr>
                <w:rFonts w:eastAsia="Arial" w:cs="Arial"/>
                <w:b/>
                <w:bCs/>
                <w:sz w:val="18"/>
                <w:szCs w:val="18"/>
                <w:lang w:eastAsia="zh-CN"/>
              </w:rPr>
              <w:t>nav ieķīlāti par labu kādai no kredītiestādēm</w:t>
            </w:r>
            <w:r w:rsidRPr="005C2884">
              <w:rPr>
                <w:rFonts w:eastAsia="Arial" w:cs="Arial"/>
                <w:sz w:val="18"/>
                <w:szCs w:val="18"/>
                <w:lang w:eastAsia="zh-CN"/>
              </w:rPr>
              <w:t>, tai skaitā,</w:t>
            </w:r>
          </w:p>
        </w:tc>
        <w:tc>
          <w:tcPr>
            <w:tcW w:w="119" w:type="pct"/>
          </w:tcPr>
          <w:p w14:paraId="10DAECA8" w14:textId="77777777" w:rsidR="00241BD9" w:rsidRPr="005C2884" w:rsidRDefault="00241BD9" w:rsidP="00F712FC">
            <w:pPr>
              <w:spacing w:after="200" w:line="276" w:lineRule="auto"/>
              <w:rPr>
                <w:rFonts w:eastAsia="Arial" w:cs="Arial"/>
                <w:i/>
                <w:sz w:val="18"/>
                <w:szCs w:val="18"/>
              </w:rPr>
            </w:pPr>
          </w:p>
        </w:tc>
      </w:tr>
      <w:tr w:rsidR="00241BD9" w:rsidRPr="005C2884" w14:paraId="57016EDF" w14:textId="77777777" w:rsidTr="00F712FC">
        <w:tc>
          <w:tcPr>
            <w:tcW w:w="410" w:type="pct"/>
          </w:tcPr>
          <w:p w14:paraId="069E2046"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sz w:val="18"/>
                <w:szCs w:val="18"/>
              </w:rPr>
              <w:t>1.1.</w:t>
            </w:r>
          </w:p>
        </w:tc>
        <w:tc>
          <w:tcPr>
            <w:tcW w:w="4471" w:type="pct"/>
          </w:tcPr>
          <w:p w14:paraId="7B48D52C"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sabiedriskā transporta līdzekļi</w:t>
            </w:r>
            <w:r w:rsidRPr="005C2884">
              <w:rPr>
                <w:rFonts w:eastAsia="Arial" w:cs="Arial"/>
                <w:b/>
                <w:sz w:val="18"/>
                <w:szCs w:val="18"/>
                <w:lang w:eastAsia="zh-CN"/>
              </w:rPr>
              <w:t xml:space="preserve"> </w:t>
            </w:r>
            <w:r w:rsidRPr="005C2884">
              <w:rPr>
                <w:rFonts w:eastAsia="Arial" w:cs="Arial"/>
                <w:sz w:val="18"/>
                <w:szCs w:val="18"/>
                <w:lang w:eastAsia="zh-CN"/>
              </w:rPr>
              <w:t xml:space="preserve">(ar ražotāja uzstādīto un iemontēto aprīkojumu, ražotāja un/vai reklāmas krāsojumu, uzlīmēm), </w:t>
            </w:r>
            <w:r w:rsidRPr="005C2884">
              <w:rPr>
                <w:rFonts w:eastAsia="Arial" w:cs="Arial"/>
                <w:b/>
                <w:sz w:val="18"/>
                <w:szCs w:val="18"/>
                <w:lang w:eastAsia="zh-CN"/>
              </w:rPr>
              <w:t>kas uzskaitīti uzņēmuma bilancē</w:t>
            </w:r>
            <w:r w:rsidRPr="005C2884">
              <w:rPr>
                <w:rFonts w:eastAsia="Arial" w:cs="Arial"/>
                <w:sz w:val="18"/>
                <w:szCs w:val="18"/>
                <w:lang w:eastAsia="zh-CN"/>
              </w:rPr>
              <w:t xml:space="preserve"> un norādīti apdrošināmo objektu sarakstā atbilstoši norādītajiem iegādes gadiem.</w:t>
            </w:r>
          </w:p>
        </w:tc>
        <w:tc>
          <w:tcPr>
            <w:tcW w:w="119" w:type="pct"/>
          </w:tcPr>
          <w:p w14:paraId="3426FE95" w14:textId="77777777" w:rsidR="00241BD9" w:rsidRPr="005C2884" w:rsidRDefault="00241BD9" w:rsidP="00F712FC">
            <w:pPr>
              <w:spacing w:after="200" w:line="276" w:lineRule="auto"/>
              <w:rPr>
                <w:rFonts w:eastAsia="Arial" w:cs="Arial"/>
                <w:i/>
                <w:sz w:val="18"/>
                <w:szCs w:val="18"/>
              </w:rPr>
            </w:pPr>
          </w:p>
        </w:tc>
      </w:tr>
      <w:tr w:rsidR="00241BD9" w:rsidRPr="005C2884" w14:paraId="36766EF2" w14:textId="77777777" w:rsidTr="00F712FC">
        <w:tc>
          <w:tcPr>
            <w:tcW w:w="410" w:type="pct"/>
          </w:tcPr>
          <w:p w14:paraId="6D074B8F"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sz w:val="18"/>
                <w:szCs w:val="18"/>
              </w:rPr>
              <w:t>1.2.</w:t>
            </w:r>
          </w:p>
        </w:tc>
        <w:tc>
          <w:tcPr>
            <w:tcW w:w="4471" w:type="pct"/>
          </w:tcPr>
          <w:p w14:paraId="4BEA9207" w14:textId="77777777" w:rsidR="00241BD9" w:rsidRPr="005C2884" w:rsidRDefault="00241BD9" w:rsidP="00F712FC">
            <w:pPr>
              <w:widowControl w:val="0"/>
              <w:tabs>
                <w:tab w:val="num" w:pos="993"/>
              </w:tabs>
              <w:adjustRightInd w:val="0"/>
              <w:spacing w:after="200" w:line="276" w:lineRule="auto"/>
              <w:jc w:val="both"/>
              <w:textAlignment w:val="baseline"/>
              <w:rPr>
                <w:rFonts w:eastAsia="Arial" w:cs="Arial"/>
                <w:b/>
                <w:sz w:val="18"/>
                <w:szCs w:val="18"/>
              </w:rPr>
            </w:pPr>
            <w:r w:rsidRPr="005C2884">
              <w:rPr>
                <w:rFonts w:eastAsia="Arial" w:cs="Arial"/>
                <w:sz w:val="18"/>
                <w:szCs w:val="18"/>
                <w:lang w:eastAsia="zh-CN"/>
              </w:rPr>
              <w:t xml:space="preserve">Apdrošinājuma vērtības transportlīdzekļiem ir noteiktas, kā pieņemtās </w:t>
            </w:r>
            <w:r>
              <w:rPr>
                <w:rFonts w:eastAsia="Arial" w:cs="Arial"/>
                <w:sz w:val="18"/>
                <w:szCs w:val="18"/>
                <w:lang w:eastAsia="zh-CN"/>
              </w:rPr>
              <w:t>vērtības</w:t>
            </w:r>
            <w:r w:rsidRPr="005C2884">
              <w:rPr>
                <w:rFonts w:eastAsia="Arial" w:cs="Arial"/>
                <w:sz w:val="18"/>
                <w:szCs w:val="18"/>
                <w:lang w:eastAsia="zh-CN"/>
              </w:rPr>
              <w:t xml:space="preserve"> (agreed value) atbilstoši Sarakstā Nr. 2 noteiktajām vērtībām eiro (bez PVN).</w:t>
            </w:r>
          </w:p>
        </w:tc>
        <w:tc>
          <w:tcPr>
            <w:tcW w:w="119" w:type="pct"/>
          </w:tcPr>
          <w:p w14:paraId="00F0F1BC" w14:textId="77777777" w:rsidR="00241BD9" w:rsidRPr="005C2884" w:rsidRDefault="00241BD9" w:rsidP="00F712FC">
            <w:pPr>
              <w:spacing w:after="200" w:line="276" w:lineRule="auto"/>
              <w:rPr>
                <w:rFonts w:eastAsia="Arial" w:cs="Arial"/>
                <w:i/>
                <w:sz w:val="18"/>
                <w:szCs w:val="18"/>
              </w:rPr>
            </w:pPr>
          </w:p>
        </w:tc>
      </w:tr>
      <w:tr w:rsidR="00241BD9" w:rsidRPr="005C2884" w14:paraId="70D75530" w14:textId="77777777" w:rsidTr="00F712FC">
        <w:tc>
          <w:tcPr>
            <w:tcW w:w="410" w:type="pct"/>
          </w:tcPr>
          <w:p w14:paraId="788B15D9"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1.3.</w:t>
            </w:r>
          </w:p>
        </w:tc>
        <w:tc>
          <w:tcPr>
            <w:tcW w:w="4471" w:type="pct"/>
          </w:tcPr>
          <w:p w14:paraId="0AD22CA2"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Apdrošinājuma summai netiek piemēroti apakšlimiti, t.sk., attiecībā uz transportlīdzekļu aprīkojumu, krāsojumu.</w:t>
            </w:r>
          </w:p>
        </w:tc>
        <w:tc>
          <w:tcPr>
            <w:tcW w:w="119" w:type="pct"/>
          </w:tcPr>
          <w:p w14:paraId="3C06EDA3" w14:textId="77777777" w:rsidR="00241BD9" w:rsidRPr="005C2884" w:rsidRDefault="00241BD9" w:rsidP="00F712FC">
            <w:pPr>
              <w:spacing w:after="200" w:line="276" w:lineRule="auto"/>
              <w:rPr>
                <w:rFonts w:eastAsia="Arial" w:cs="Arial"/>
                <w:i/>
                <w:sz w:val="18"/>
                <w:szCs w:val="18"/>
              </w:rPr>
            </w:pPr>
          </w:p>
        </w:tc>
      </w:tr>
      <w:tr w:rsidR="00241BD9" w:rsidRPr="005C2884" w14:paraId="6DBBC983" w14:textId="77777777" w:rsidTr="00F712FC">
        <w:tc>
          <w:tcPr>
            <w:tcW w:w="410" w:type="pct"/>
          </w:tcPr>
          <w:p w14:paraId="0FEBFD83" w14:textId="77777777" w:rsidR="00241BD9" w:rsidRPr="005C2884" w:rsidRDefault="00241BD9" w:rsidP="00F712FC">
            <w:pPr>
              <w:spacing w:after="200" w:line="276" w:lineRule="auto"/>
              <w:jc w:val="center"/>
              <w:rPr>
                <w:rFonts w:eastAsia="Arial" w:cs="Arial"/>
                <w:sz w:val="18"/>
                <w:szCs w:val="18"/>
              </w:rPr>
            </w:pPr>
            <w:r w:rsidRPr="005C2884">
              <w:rPr>
                <w:rFonts w:eastAsia="Arial" w:cs="Arial"/>
                <w:b/>
                <w:sz w:val="18"/>
                <w:szCs w:val="18"/>
              </w:rPr>
              <w:t>2.</w:t>
            </w:r>
          </w:p>
        </w:tc>
        <w:tc>
          <w:tcPr>
            <w:tcW w:w="4471" w:type="pct"/>
          </w:tcPr>
          <w:p w14:paraId="6B6953CB"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Apdrošināšanas teritorija</w:t>
            </w:r>
            <w:r w:rsidRPr="005C2884">
              <w:rPr>
                <w:rFonts w:eastAsia="Arial" w:cs="Arial"/>
                <w:sz w:val="18"/>
                <w:szCs w:val="18"/>
                <w:lang w:eastAsia="zh-CN"/>
              </w:rPr>
              <w:t xml:space="preserve"> – Latvijas Republika, </w:t>
            </w:r>
            <w:r w:rsidRPr="005C2884">
              <w:rPr>
                <w:rFonts w:eastAsia="Arial" w:cs="Arial"/>
                <w:b/>
                <w:i/>
                <w:sz w:val="18"/>
                <w:szCs w:val="18"/>
                <w:lang w:eastAsia="zh-CN"/>
              </w:rPr>
              <w:t>tai skaitā, piedaloties ceļu satiksmē.</w:t>
            </w:r>
          </w:p>
        </w:tc>
        <w:tc>
          <w:tcPr>
            <w:tcW w:w="119" w:type="pct"/>
          </w:tcPr>
          <w:p w14:paraId="42C07E58" w14:textId="77777777" w:rsidR="00241BD9" w:rsidRPr="005C2884" w:rsidRDefault="00241BD9" w:rsidP="00F712FC">
            <w:pPr>
              <w:spacing w:after="200" w:line="276" w:lineRule="auto"/>
              <w:rPr>
                <w:rFonts w:eastAsia="Arial" w:cs="Arial"/>
                <w:i/>
                <w:sz w:val="18"/>
                <w:szCs w:val="18"/>
              </w:rPr>
            </w:pPr>
          </w:p>
        </w:tc>
      </w:tr>
      <w:tr w:rsidR="00241BD9" w:rsidRPr="005C2884" w14:paraId="406B687B" w14:textId="77777777" w:rsidTr="00F712FC">
        <w:tc>
          <w:tcPr>
            <w:tcW w:w="410" w:type="pct"/>
          </w:tcPr>
          <w:p w14:paraId="582E94BC" w14:textId="77777777" w:rsidR="00241BD9" w:rsidRPr="005C2884" w:rsidRDefault="00241BD9" w:rsidP="00F712FC">
            <w:pPr>
              <w:suppressAutoHyphens/>
              <w:autoSpaceDE w:val="0"/>
              <w:spacing w:after="200" w:line="276" w:lineRule="auto"/>
              <w:jc w:val="center"/>
              <w:rPr>
                <w:rFonts w:eastAsia="Arial" w:cs="Arial"/>
                <w:sz w:val="18"/>
                <w:szCs w:val="18"/>
                <w:lang w:eastAsia="zh-CN"/>
              </w:rPr>
            </w:pPr>
            <w:r w:rsidRPr="005C2884">
              <w:rPr>
                <w:rFonts w:eastAsia="Arial" w:cs="Arial"/>
                <w:b/>
                <w:sz w:val="18"/>
                <w:szCs w:val="18"/>
              </w:rPr>
              <w:t>3.</w:t>
            </w:r>
          </w:p>
        </w:tc>
        <w:tc>
          <w:tcPr>
            <w:tcW w:w="4471" w:type="pct"/>
          </w:tcPr>
          <w:p w14:paraId="0E0CCABD"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sz w:val="18"/>
                <w:szCs w:val="18"/>
                <w:lang w:eastAsia="zh-CN"/>
              </w:rPr>
              <w:t>Apdrošinātie riski</w:t>
            </w:r>
            <w:r w:rsidRPr="005C2884">
              <w:rPr>
                <w:rFonts w:eastAsia="Arial" w:cs="Arial"/>
                <w:sz w:val="18"/>
                <w:szCs w:val="18"/>
                <w:lang w:eastAsia="zh-CN"/>
              </w:rPr>
              <w:t xml:space="preserve"> - apdrošinātā īpašuma tiešs fizisks bojājums vai bojāeja, kuru cēlonis ir:</w:t>
            </w:r>
          </w:p>
        </w:tc>
        <w:tc>
          <w:tcPr>
            <w:tcW w:w="119" w:type="pct"/>
          </w:tcPr>
          <w:p w14:paraId="1BCA715B" w14:textId="77777777" w:rsidR="00241BD9" w:rsidRPr="005C2884" w:rsidRDefault="00241BD9" w:rsidP="00F712FC">
            <w:pPr>
              <w:spacing w:after="200" w:line="276" w:lineRule="auto"/>
              <w:rPr>
                <w:rFonts w:eastAsia="Arial" w:cs="Arial"/>
                <w:i/>
                <w:sz w:val="18"/>
                <w:szCs w:val="18"/>
              </w:rPr>
            </w:pPr>
          </w:p>
        </w:tc>
      </w:tr>
      <w:tr w:rsidR="00241BD9" w:rsidRPr="005C2884" w14:paraId="302716C5" w14:textId="77777777" w:rsidTr="00F712FC">
        <w:tc>
          <w:tcPr>
            <w:tcW w:w="410" w:type="pct"/>
          </w:tcPr>
          <w:p w14:paraId="739407E7" w14:textId="77777777" w:rsidR="00241BD9" w:rsidRPr="005C2884" w:rsidRDefault="00241BD9" w:rsidP="00F712FC">
            <w:pPr>
              <w:suppressAutoHyphens/>
              <w:autoSpaceDE w:val="0"/>
              <w:spacing w:after="200" w:line="276" w:lineRule="auto"/>
              <w:jc w:val="center"/>
              <w:rPr>
                <w:rFonts w:eastAsia="Arial" w:cs="Arial"/>
                <w:b/>
                <w:sz w:val="18"/>
                <w:szCs w:val="18"/>
                <w:lang w:eastAsia="zh-CN"/>
              </w:rPr>
            </w:pPr>
            <w:r w:rsidRPr="005C2884">
              <w:rPr>
                <w:rFonts w:eastAsia="Arial" w:cs="Arial"/>
                <w:sz w:val="18"/>
                <w:szCs w:val="18"/>
              </w:rPr>
              <w:t>3.1.</w:t>
            </w:r>
          </w:p>
        </w:tc>
        <w:tc>
          <w:tcPr>
            <w:tcW w:w="4471" w:type="pct"/>
          </w:tcPr>
          <w:p w14:paraId="1100253A" w14:textId="77777777" w:rsidR="00241BD9" w:rsidRPr="005C2884" w:rsidRDefault="00241BD9" w:rsidP="00F712FC">
            <w:pPr>
              <w:widowControl w:val="0"/>
              <w:tabs>
                <w:tab w:val="num" w:pos="993"/>
              </w:tabs>
              <w:suppressAutoHyphens/>
              <w:autoSpaceDE w:val="0"/>
              <w:adjustRightInd w:val="0"/>
              <w:spacing w:after="200" w:line="276" w:lineRule="auto"/>
              <w:jc w:val="both"/>
              <w:textAlignment w:val="baseline"/>
              <w:rPr>
                <w:rFonts w:eastAsia="Arial" w:cs="Arial"/>
                <w:b/>
                <w:caps/>
                <w:sz w:val="18"/>
                <w:szCs w:val="18"/>
                <w:lang w:eastAsia="zh-CN"/>
              </w:rPr>
            </w:pPr>
            <w:r w:rsidRPr="005C2884">
              <w:rPr>
                <w:rFonts w:eastAsia="Arial" w:cs="Arial"/>
                <w:sz w:val="18"/>
                <w:szCs w:val="18"/>
                <w:lang w:eastAsia="zh-CN"/>
              </w:rPr>
              <w:t>Ugunsgrēks – neparedzēta, nekontrolējama degšana, kas rada vai var radīt zaudējumus, neatkarīgi no iemesla. Ar uguns risku apdrošināti tiek arī zaudējumi, kas rodas degšanas procesā no dūmiem, kvēpiem, karstuma, gruzdēšanas, kā arī zaudējumi vai bojājumi, kas rodas uguns dzēšanas procesā.</w:t>
            </w:r>
          </w:p>
        </w:tc>
        <w:tc>
          <w:tcPr>
            <w:tcW w:w="119" w:type="pct"/>
          </w:tcPr>
          <w:p w14:paraId="4DA0E2BC" w14:textId="77777777" w:rsidR="00241BD9" w:rsidRPr="005C2884" w:rsidRDefault="00241BD9" w:rsidP="00F712FC">
            <w:pPr>
              <w:spacing w:after="200" w:line="276" w:lineRule="auto"/>
              <w:rPr>
                <w:rFonts w:eastAsia="Arial" w:cs="Arial"/>
                <w:i/>
                <w:sz w:val="18"/>
                <w:szCs w:val="18"/>
              </w:rPr>
            </w:pPr>
          </w:p>
        </w:tc>
      </w:tr>
      <w:tr w:rsidR="00241BD9" w:rsidRPr="005C2884" w14:paraId="4F8A7726" w14:textId="77777777" w:rsidTr="00F712FC">
        <w:tc>
          <w:tcPr>
            <w:tcW w:w="410" w:type="pct"/>
          </w:tcPr>
          <w:p w14:paraId="66A1608D" w14:textId="77777777" w:rsidR="00241BD9" w:rsidRPr="005C2884" w:rsidRDefault="00241BD9" w:rsidP="00F712FC">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3.2.</w:t>
            </w:r>
          </w:p>
        </w:tc>
        <w:tc>
          <w:tcPr>
            <w:tcW w:w="4471" w:type="pct"/>
          </w:tcPr>
          <w:p w14:paraId="5801EB05" w14:textId="77777777" w:rsidR="00241BD9" w:rsidRPr="005C2884" w:rsidRDefault="00241BD9" w:rsidP="00F712FC">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5C2884">
              <w:rPr>
                <w:rFonts w:eastAsia="Arial" w:cs="Arial"/>
                <w:sz w:val="18"/>
                <w:szCs w:val="18"/>
                <w:lang w:eastAsia="zh-CN"/>
              </w:rPr>
              <w:t>Eksplozija – momentāna (eksplozīva) vielas vai maisījuma ķīmiska pārvērtība, kas rada paaugstinātu spiedienu (triecienviļņi) vai pēkšņa ārdoša spiediena spēka izpausme, kad tvertnes (katla, cauruļvada utt.) sienas tiek sagrautas un spiediens izlīdzinās tvertnes iekšpusē un ārpusē.</w:t>
            </w:r>
          </w:p>
        </w:tc>
        <w:tc>
          <w:tcPr>
            <w:tcW w:w="119" w:type="pct"/>
          </w:tcPr>
          <w:p w14:paraId="5CA20AF0" w14:textId="77777777" w:rsidR="00241BD9" w:rsidRPr="005C2884" w:rsidRDefault="00241BD9" w:rsidP="00F712FC">
            <w:pPr>
              <w:spacing w:after="200" w:line="276" w:lineRule="auto"/>
              <w:rPr>
                <w:rFonts w:eastAsia="Arial" w:cs="Arial"/>
                <w:i/>
                <w:sz w:val="18"/>
                <w:szCs w:val="18"/>
              </w:rPr>
            </w:pPr>
          </w:p>
        </w:tc>
      </w:tr>
      <w:tr w:rsidR="00241BD9" w:rsidRPr="005C2884" w14:paraId="3D924DB5" w14:textId="77777777" w:rsidTr="00F712FC">
        <w:tc>
          <w:tcPr>
            <w:tcW w:w="410" w:type="pct"/>
          </w:tcPr>
          <w:p w14:paraId="0E09BE1B" w14:textId="77777777" w:rsidR="00241BD9" w:rsidRPr="005C2884" w:rsidRDefault="00241BD9" w:rsidP="00F712FC">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3.3.</w:t>
            </w:r>
          </w:p>
        </w:tc>
        <w:tc>
          <w:tcPr>
            <w:tcW w:w="4471" w:type="pct"/>
          </w:tcPr>
          <w:p w14:paraId="26CEC85C"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Zibens spēriens (t.sk., lodveida zibens) – tieša atmosfēras pārsprieguma iedarbība uz apdrošinātajiem priekšmetiem un elektroietaisēm.</w:t>
            </w:r>
          </w:p>
        </w:tc>
        <w:tc>
          <w:tcPr>
            <w:tcW w:w="119" w:type="pct"/>
          </w:tcPr>
          <w:p w14:paraId="65E92DE3" w14:textId="77777777" w:rsidR="00241BD9" w:rsidRPr="005C2884" w:rsidRDefault="00241BD9" w:rsidP="00F712FC">
            <w:pPr>
              <w:spacing w:after="200" w:line="276" w:lineRule="auto"/>
              <w:rPr>
                <w:rFonts w:eastAsia="Arial" w:cs="Arial"/>
                <w:i/>
                <w:sz w:val="18"/>
                <w:szCs w:val="18"/>
              </w:rPr>
            </w:pPr>
          </w:p>
        </w:tc>
      </w:tr>
      <w:tr w:rsidR="00241BD9" w:rsidRPr="005C2884" w14:paraId="578F62B5" w14:textId="77777777" w:rsidTr="00F712FC">
        <w:tc>
          <w:tcPr>
            <w:tcW w:w="410" w:type="pct"/>
          </w:tcPr>
          <w:p w14:paraId="30BBF657" w14:textId="77777777" w:rsidR="00241BD9" w:rsidRPr="005C2884" w:rsidRDefault="00241BD9" w:rsidP="00F712FC">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3.4.</w:t>
            </w:r>
          </w:p>
        </w:tc>
        <w:tc>
          <w:tcPr>
            <w:tcW w:w="4471" w:type="pct"/>
          </w:tcPr>
          <w:p w14:paraId="35E63C6D"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Plūdi – lielākas vai mazākas teritorijas applūšana ar ūdeni, kas pārgājis pāri ūdenstilpņu vai baseinu robežām.</w:t>
            </w:r>
          </w:p>
        </w:tc>
        <w:tc>
          <w:tcPr>
            <w:tcW w:w="119" w:type="pct"/>
          </w:tcPr>
          <w:p w14:paraId="5CA8ECC0" w14:textId="77777777" w:rsidR="00241BD9" w:rsidRPr="005C2884" w:rsidRDefault="00241BD9" w:rsidP="00F712FC">
            <w:pPr>
              <w:spacing w:after="200" w:line="276" w:lineRule="auto"/>
              <w:rPr>
                <w:rFonts w:eastAsia="Arial" w:cs="Arial"/>
                <w:i/>
                <w:sz w:val="18"/>
                <w:szCs w:val="18"/>
              </w:rPr>
            </w:pPr>
          </w:p>
        </w:tc>
      </w:tr>
      <w:tr w:rsidR="00241BD9" w:rsidRPr="005C2884" w14:paraId="2647C208" w14:textId="77777777" w:rsidTr="00F712FC">
        <w:tc>
          <w:tcPr>
            <w:tcW w:w="410" w:type="pct"/>
          </w:tcPr>
          <w:p w14:paraId="32CA953E" w14:textId="77777777" w:rsidR="00241BD9" w:rsidRPr="005C2884" w:rsidRDefault="00241BD9" w:rsidP="00F712FC">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3.5.</w:t>
            </w:r>
          </w:p>
        </w:tc>
        <w:tc>
          <w:tcPr>
            <w:tcW w:w="4471" w:type="pct"/>
          </w:tcPr>
          <w:p w14:paraId="20CC3D0C"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Vēja nodarīti bojājumi - vējš vai vēja brāzmas ar ātrumu, kas ir ne mazāks par 15 (piecpadsmit) metriem sekundē (pēc Apdrošināšanas objektam tuvākās meteoroloģiskās stacijas uzrādītajiem datiem). Ja Apdrošināšanas objekta atrašanās vietā vēja ātrumu nav iespējams noteikt, tad uzskatāms, ka vētra ir bijusi, ja šāda vēja ietekmē ir tikuši nodarīti bojājumi 10 kilometru rādiusā esošām ēkām un objektiem, kuri pirms vētras ir bijuši labā stāvoklī.</w:t>
            </w:r>
          </w:p>
        </w:tc>
        <w:tc>
          <w:tcPr>
            <w:tcW w:w="119" w:type="pct"/>
          </w:tcPr>
          <w:p w14:paraId="564EC0D0" w14:textId="77777777" w:rsidR="00241BD9" w:rsidRPr="005C2884" w:rsidRDefault="00241BD9" w:rsidP="00F712FC">
            <w:pPr>
              <w:spacing w:after="200" w:line="276" w:lineRule="auto"/>
              <w:rPr>
                <w:rFonts w:eastAsia="Arial" w:cs="Arial"/>
                <w:i/>
                <w:sz w:val="18"/>
                <w:szCs w:val="18"/>
              </w:rPr>
            </w:pPr>
          </w:p>
        </w:tc>
      </w:tr>
      <w:tr w:rsidR="00241BD9" w:rsidRPr="005C2884" w14:paraId="1F730D2F" w14:textId="77777777" w:rsidTr="00F712FC">
        <w:tc>
          <w:tcPr>
            <w:tcW w:w="410" w:type="pct"/>
          </w:tcPr>
          <w:p w14:paraId="29EB77E9" w14:textId="77777777" w:rsidR="00241BD9" w:rsidRPr="005C2884" w:rsidRDefault="00241BD9" w:rsidP="00F712FC">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3.6</w:t>
            </w:r>
          </w:p>
        </w:tc>
        <w:tc>
          <w:tcPr>
            <w:tcW w:w="4471" w:type="pct"/>
          </w:tcPr>
          <w:p w14:paraId="4963F8AA" w14:textId="77777777" w:rsidR="00241BD9" w:rsidRPr="005C2884" w:rsidRDefault="00241BD9" w:rsidP="00F712FC">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5C2884">
              <w:rPr>
                <w:rFonts w:eastAsia="Arial" w:cs="Arial"/>
                <w:sz w:val="18"/>
                <w:szCs w:val="18"/>
                <w:lang w:eastAsia="zh-CN"/>
              </w:rPr>
              <w:t>Zemestrīce – zemes garozas svārstības Latvijas teritorijā.</w:t>
            </w:r>
          </w:p>
        </w:tc>
        <w:tc>
          <w:tcPr>
            <w:tcW w:w="119" w:type="pct"/>
          </w:tcPr>
          <w:p w14:paraId="1B47757D" w14:textId="77777777" w:rsidR="00241BD9" w:rsidRPr="005C2884" w:rsidRDefault="00241BD9" w:rsidP="00F712FC">
            <w:pPr>
              <w:spacing w:after="200" w:line="276" w:lineRule="auto"/>
              <w:rPr>
                <w:rFonts w:eastAsia="Arial" w:cs="Arial"/>
                <w:i/>
                <w:sz w:val="18"/>
                <w:szCs w:val="18"/>
              </w:rPr>
            </w:pPr>
          </w:p>
        </w:tc>
      </w:tr>
      <w:tr w:rsidR="00241BD9" w:rsidRPr="005C2884" w14:paraId="61376D4C" w14:textId="77777777" w:rsidTr="00F712FC">
        <w:tc>
          <w:tcPr>
            <w:tcW w:w="410" w:type="pct"/>
          </w:tcPr>
          <w:p w14:paraId="1BCD9693" w14:textId="77777777" w:rsidR="00241BD9" w:rsidRPr="005C2884" w:rsidRDefault="00241BD9" w:rsidP="00F712FC">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3.7.</w:t>
            </w:r>
          </w:p>
        </w:tc>
        <w:tc>
          <w:tcPr>
            <w:tcW w:w="4471" w:type="pct"/>
          </w:tcPr>
          <w:p w14:paraId="3916385B" w14:textId="77777777" w:rsidR="00241BD9" w:rsidRPr="005C2884" w:rsidRDefault="00241BD9" w:rsidP="00F712FC">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5C2884">
              <w:rPr>
                <w:rFonts w:eastAsia="Arial" w:cs="Arial"/>
                <w:sz w:val="18"/>
                <w:szCs w:val="18"/>
                <w:lang w:eastAsia="zh-CN"/>
              </w:rPr>
              <w:t>Krusa – dažādas formas, lieluma vai svara ledus gabaliņi, kas nokrīt uz apdrošināto objektu un tādējādi izraisa tā bojāeju vai bojājumu.</w:t>
            </w:r>
          </w:p>
        </w:tc>
        <w:tc>
          <w:tcPr>
            <w:tcW w:w="119" w:type="pct"/>
          </w:tcPr>
          <w:p w14:paraId="247CC251" w14:textId="77777777" w:rsidR="00241BD9" w:rsidRPr="005C2884" w:rsidRDefault="00241BD9" w:rsidP="00F712FC">
            <w:pPr>
              <w:spacing w:after="200" w:line="276" w:lineRule="auto"/>
              <w:rPr>
                <w:rFonts w:eastAsia="Arial" w:cs="Arial"/>
                <w:i/>
                <w:sz w:val="18"/>
                <w:szCs w:val="18"/>
              </w:rPr>
            </w:pPr>
          </w:p>
        </w:tc>
      </w:tr>
      <w:tr w:rsidR="00241BD9" w:rsidRPr="005C2884" w14:paraId="48892523" w14:textId="77777777" w:rsidTr="00F712FC">
        <w:tc>
          <w:tcPr>
            <w:tcW w:w="410" w:type="pct"/>
          </w:tcPr>
          <w:p w14:paraId="2668EE94" w14:textId="77777777" w:rsidR="00241BD9" w:rsidRPr="005C2884" w:rsidRDefault="00241BD9" w:rsidP="00F712FC">
            <w:pPr>
              <w:suppressAutoHyphens/>
              <w:autoSpaceDE w:val="0"/>
              <w:spacing w:after="200" w:line="276" w:lineRule="auto"/>
              <w:jc w:val="center"/>
              <w:rPr>
                <w:rFonts w:eastAsia="Arial" w:cs="Arial"/>
                <w:sz w:val="18"/>
                <w:szCs w:val="18"/>
                <w:lang w:eastAsia="zh-CN"/>
              </w:rPr>
            </w:pPr>
            <w:r w:rsidRPr="005C2884">
              <w:rPr>
                <w:rFonts w:eastAsia="Arial" w:cs="Arial"/>
                <w:sz w:val="18"/>
                <w:szCs w:val="18"/>
              </w:rPr>
              <w:t>3.8.</w:t>
            </w:r>
          </w:p>
        </w:tc>
        <w:tc>
          <w:tcPr>
            <w:tcW w:w="4471" w:type="pct"/>
          </w:tcPr>
          <w:p w14:paraId="229561CF" w14:textId="77777777" w:rsidR="00241BD9" w:rsidRPr="005C2884" w:rsidRDefault="00241BD9" w:rsidP="00F712FC">
            <w:pPr>
              <w:widowControl w:val="0"/>
              <w:tabs>
                <w:tab w:val="num" w:pos="993"/>
              </w:tabs>
              <w:suppressAutoHyphens/>
              <w:autoSpaceDE w:val="0"/>
              <w:adjustRightInd w:val="0"/>
              <w:spacing w:after="200" w:line="276" w:lineRule="auto"/>
              <w:jc w:val="both"/>
              <w:textAlignment w:val="baseline"/>
              <w:rPr>
                <w:rFonts w:eastAsia="Arial" w:cs="Arial"/>
                <w:sz w:val="18"/>
                <w:szCs w:val="18"/>
                <w:lang w:eastAsia="zh-CN"/>
              </w:rPr>
            </w:pPr>
            <w:r w:rsidRPr="005C2884">
              <w:rPr>
                <w:rFonts w:eastAsia="Arial" w:cs="Arial"/>
                <w:sz w:val="18"/>
                <w:szCs w:val="18"/>
                <w:lang w:eastAsia="zh-CN"/>
              </w:rPr>
              <w:t>Koku, mastu vai citu priekšmetu un vielu uzkrišana apdrošinātajiem objektiem, neatkarīgi no iemesla.</w:t>
            </w:r>
          </w:p>
        </w:tc>
        <w:tc>
          <w:tcPr>
            <w:tcW w:w="119" w:type="pct"/>
          </w:tcPr>
          <w:p w14:paraId="57D604F6" w14:textId="77777777" w:rsidR="00241BD9" w:rsidRPr="005C2884" w:rsidRDefault="00241BD9" w:rsidP="00F712FC">
            <w:pPr>
              <w:spacing w:after="200" w:line="276" w:lineRule="auto"/>
              <w:rPr>
                <w:rFonts w:eastAsia="Arial" w:cs="Arial"/>
                <w:i/>
                <w:sz w:val="18"/>
                <w:szCs w:val="18"/>
              </w:rPr>
            </w:pPr>
          </w:p>
        </w:tc>
      </w:tr>
      <w:tr w:rsidR="00241BD9" w:rsidRPr="005C2884" w14:paraId="68EEC327" w14:textId="77777777" w:rsidTr="00F712FC">
        <w:tc>
          <w:tcPr>
            <w:tcW w:w="410" w:type="pct"/>
          </w:tcPr>
          <w:p w14:paraId="50628C67"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3.9.</w:t>
            </w:r>
          </w:p>
        </w:tc>
        <w:tc>
          <w:tcPr>
            <w:tcW w:w="4471" w:type="pct"/>
          </w:tcPr>
          <w:p w14:paraId="6FB11957"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Gaisa kuģu, to daļu vai to pārvadājamās kravas uzkrišana apdrošinātajam objektam.</w:t>
            </w:r>
          </w:p>
        </w:tc>
        <w:tc>
          <w:tcPr>
            <w:tcW w:w="119" w:type="pct"/>
          </w:tcPr>
          <w:p w14:paraId="78261B35" w14:textId="77777777" w:rsidR="00241BD9" w:rsidRPr="005C2884" w:rsidRDefault="00241BD9" w:rsidP="00F712FC">
            <w:pPr>
              <w:spacing w:after="200" w:line="276" w:lineRule="auto"/>
              <w:rPr>
                <w:rFonts w:eastAsia="Arial" w:cs="Arial"/>
                <w:i/>
                <w:sz w:val="18"/>
                <w:szCs w:val="18"/>
              </w:rPr>
            </w:pPr>
          </w:p>
        </w:tc>
      </w:tr>
      <w:tr w:rsidR="00241BD9" w:rsidRPr="005C2884" w14:paraId="0DB91AB5" w14:textId="77777777" w:rsidTr="00F712FC">
        <w:tc>
          <w:tcPr>
            <w:tcW w:w="410" w:type="pct"/>
          </w:tcPr>
          <w:p w14:paraId="2AC19599"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3.10.</w:t>
            </w:r>
          </w:p>
        </w:tc>
        <w:tc>
          <w:tcPr>
            <w:tcW w:w="4471" w:type="pct"/>
          </w:tcPr>
          <w:p w14:paraId="5F94CDAC"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Trešo personu prettiesiska rīcība – zādzība, zādzības mēģinājums, laupīšana, laupīšanas mēģinājums, vandālisms, stiklojuma bojāšana, ļaunprātīga dedzināšana, sprādziena izraisīšana, terorisms un citas trešo personu prettiesiskas rīcības, tīša/netīša īpašuma bojāšana vai iznīcināšana (saskaņā ar Latvijas Republikas krimināltiesību normām). Apdrošināšanas riska “Terorisms” apdrošināšanas atlīdzībai tiek noteikts limits 3 125 000 eiro.</w:t>
            </w:r>
          </w:p>
        </w:tc>
        <w:tc>
          <w:tcPr>
            <w:tcW w:w="119" w:type="pct"/>
          </w:tcPr>
          <w:p w14:paraId="6AA31713" w14:textId="77777777" w:rsidR="00241BD9" w:rsidRPr="005C2884" w:rsidRDefault="00241BD9" w:rsidP="00F712FC">
            <w:pPr>
              <w:spacing w:after="200" w:line="276" w:lineRule="auto"/>
              <w:rPr>
                <w:rFonts w:eastAsia="Arial" w:cs="Arial"/>
                <w:i/>
                <w:sz w:val="18"/>
                <w:szCs w:val="18"/>
              </w:rPr>
            </w:pPr>
          </w:p>
        </w:tc>
      </w:tr>
      <w:tr w:rsidR="00241BD9" w:rsidRPr="005C2884" w14:paraId="7A046CB7" w14:textId="77777777" w:rsidTr="00F712FC">
        <w:tc>
          <w:tcPr>
            <w:tcW w:w="410" w:type="pct"/>
          </w:tcPr>
          <w:p w14:paraId="11424D53"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3.11.</w:t>
            </w:r>
          </w:p>
        </w:tc>
        <w:tc>
          <w:tcPr>
            <w:tcW w:w="4471" w:type="pct"/>
          </w:tcPr>
          <w:p w14:paraId="379D2C24"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Apdrošināšanas līguma ietvaros netiek atlīdzināti apdrošināto objektu iekšēju elektrisku vai mehānisku bojājumu, kļūmju, atteices vai salūšanas, pārsprieguma, īssavienojuma vai pārkaršanas dēļ apdrošināšanas objekta dzinējā, mehānismos vai elektroietaisēs, novēršanas izdevumi. </w:t>
            </w:r>
          </w:p>
          <w:p w14:paraId="23B32364"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Tomēr, ja augšminēto apstākļu iedarbības rezultātā notiek apdrošināšanas objekta aizdegšanās, kuras rezultātā apdrošinātajam objektiem tiek nodarīti bojājumi, šādu bojājumu novēršanas izdevumi vai zaudējumi saistībā ar apdrošināšanas objekta bojāeju tiek atlīdzināti.</w:t>
            </w:r>
          </w:p>
        </w:tc>
        <w:tc>
          <w:tcPr>
            <w:tcW w:w="119" w:type="pct"/>
          </w:tcPr>
          <w:p w14:paraId="2A6183A7" w14:textId="77777777" w:rsidR="00241BD9" w:rsidRPr="005C2884" w:rsidRDefault="00241BD9" w:rsidP="00F712FC">
            <w:pPr>
              <w:spacing w:after="200" w:line="276" w:lineRule="auto"/>
              <w:rPr>
                <w:rFonts w:eastAsia="Arial" w:cs="Arial"/>
                <w:i/>
                <w:sz w:val="18"/>
                <w:szCs w:val="18"/>
              </w:rPr>
            </w:pPr>
          </w:p>
        </w:tc>
      </w:tr>
      <w:tr w:rsidR="00241BD9" w:rsidRPr="005C2884" w14:paraId="0D62DC7B" w14:textId="77777777" w:rsidTr="00F712FC">
        <w:tc>
          <w:tcPr>
            <w:tcW w:w="410" w:type="pct"/>
          </w:tcPr>
          <w:p w14:paraId="16CB9A86" w14:textId="77777777" w:rsidR="00241BD9" w:rsidRPr="005C2884" w:rsidRDefault="00241BD9" w:rsidP="00F712FC">
            <w:pPr>
              <w:spacing w:after="200" w:line="276" w:lineRule="auto"/>
              <w:jc w:val="center"/>
              <w:rPr>
                <w:rFonts w:eastAsia="Arial" w:cs="Arial"/>
                <w:sz w:val="18"/>
                <w:szCs w:val="18"/>
              </w:rPr>
            </w:pPr>
            <w:r w:rsidRPr="005C2884">
              <w:rPr>
                <w:rFonts w:eastAsia="Arial" w:cs="Arial"/>
                <w:b/>
                <w:sz w:val="18"/>
                <w:szCs w:val="18"/>
              </w:rPr>
              <w:t>4.</w:t>
            </w:r>
          </w:p>
        </w:tc>
        <w:tc>
          <w:tcPr>
            <w:tcW w:w="4471" w:type="pct"/>
          </w:tcPr>
          <w:p w14:paraId="1BF3CBD7"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sz w:val="18"/>
                <w:szCs w:val="18"/>
              </w:rPr>
              <w:t>Pašrisks katram apdrošināšanas gadījumam:</w:t>
            </w:r>
          </w:p>
        </w:tc>
        <w:tc>
          <w:tcPr>
            <w:tcW w:w="119" w:type="pct"/>
          </w:tcPr>
          <w:p w14:paraId="72DFC3AE" w14:textId="77777777" w:rsidR="00241BD9" w:rsidRPr="005C2884" w:rsidRDefault="00241BD9" w:rsidP="00F712FC">
            <w:pPr>
              <w:spacing w:after="200" w:line="276" w:lineRule="auto"/>
              <w:rPr>
                <w:rFonts w:eastAsia="Arial" w:cs="Arial"/>
                <w:i/>
                <w:sz w:val="18"/>
                <w:szCs w:val="18"/>
              </w:rPr>
            </w:pPr>
          </w:p>
        </w:tc>
      </w:tr>
      <w:tr w:rsidR="00241BD9" w:rsidRPr="005C2884" w14:paraId="7556B2D9" w14:textId="77777777" w:rsidTr="00F712FC">
        <w:tc>
          <w:tcPr>
            <w:tcW w:w="410" w:type="pct"/>
          </w:tcPr>
          <w:p w14:paraId="24B10E50"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w:t>
            </w:r>
          </w:p>
          <w:p w14:paraId="377ECC4F"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4.1.1.</w:t>
            </w:r>
          </w:p>
        </w:tc>
        <w:tc>
          <w:tcPr>
            <w:tcW w:w="4471" w:type="pct"/>
          </w:tcPr>
          <w:p w14:paraId="1670C3D9"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Varianti</w:t>
            </w:r>
          </w:p>
          <w:p w14:paraId="7F162ACE"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EUR 500</w:t>
            </w:r>
          </w:p>
        </w:tc>
        <w:tc>
          <w:tcPr>
            <w:tcW w:w="119" w:type="pct"/>
          </w:tcPr>
          <w:p w14:paraId="10750BE9" w14:textId="77777777" w:rsidR="00241BD9" w:rsidRPr="005C2884" w:rsidRDefault="00241BD9" w:rsidP="00F712FC">
            <w:pPr>
              <w:spacing w:after="200" w:line="276" w:lineRule="auto"/>
              <w:rPr>
                <w:rFonts w:eastAsia="Arial" w:cs="Arial"/>
                <w:i/>
                <w:sz w:val="18"/>
                <w:szCs w:val="18"/>
              </w:rPr>
            </w:pPr>
          </w:p>
        </w:tc>
      </w:tr>
      <w:tr w:rsidR="00241BD9" w:rsidRPr="005C2884" w14:paraId="62D60703" w14:textId="77777777" w:rsidTr="00F712FC">
        <w:tc>
          <w:tcPr>
            <w:tcW w:w="410" w:type="pct"/>
          </w:tcPr>
          <w:p w14:paraId="1A181A6F"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sz w:val="18"/>
                <w:szCs w:val="18"/>
              </w:rPr>
              <w:t>4.2.</w:t>
            </w:r>
          </w:p>
        </w:tc>
        <w:tc>
          <w:tcPr>
            <w:tcW w:w="4471" w:type="pct"/>
          </w:tcPr>
          <w:p w14:paraId="29BAC182" w14:textId="77777777" w:rsidR="00241BD9" w:rsidRPr="005C2884" w:rsidRDefault="00241BD9" w:rsidP="00F712FC">
            <w:pPr>
              <w:suppressAutoHyphens/>
              <w:autoSpaceDE w:val="0"/>
              <w:spacing w:after="200" w:line="276" w:lineRule="auto"/>
              <w:jc w:val="both"/>
              <w:rPr>
                <w:rFonts w:eastAsia="Arial" w:cs="Arial"/>
                <w:b/>
                <w:sz w:val="18"/>
                <w:szCs w:val="18"/>
                <w:highlight w:val="yellow"/>
              </w:rPr>
            </w:pPr>
            <w:r w:rsidRPr="005C2884">
              <w:rPr>
                <w:rFonts w:eastAsia="Arial" w:cs="Arial"/>
                <w:sz w:val="18"/>
                <w:szCs w:val="18"/>
                <w:lang w:eastAsia="zh-CN"/>
              </w:rPr>
              <w:t>ja viena apdrošināšanas riska iedarbības rezultātā (piemēram, vētra) tiek bojāti vairāki apdrošinātie objekti, tad tiek piemērots viens polisē norādītais pašrisks.</w:t>
            </w:r>
          </w:p>
        </w:tc>
        <w:tc>
          <w:tcPr>
            <w:tcW w:w="119" w:type="pct"/>
          </w:tcPr>
          <w:p w14:paraId="7C9E6001" w14:textId="77777777" w:rsidR="00241BD9" w:rsidRPr="005C2884" w:rsidRDefault="00241BD9" w:rsidP="00F712FC">
            <w:pPr>
              <w:spacing w:after="200" w:line="276" w:lineRule="auto"/>
              <w:rPr>
                <w:rFonts w:eastAsia="Arial" w:cs="Arial"/>
                <w:i/>
                <w:sz w:val="18"/>
                <w:szCs w:val="18"/>
              </w:rPr>
            </w:pPr>
          </w:p>
        </w:tc>
      </w:tr>
      <w:tr w:rsidR="00241BD9" w:rsidRPr="005C2884" w14:paraId="4B655E7E" w14:textId="77777777" w:rsidTr="00F712FC">
        <w:tc>
          <w:tcPr>
            <w:tcW w:w="410" w:type="pct"/>
          </w:tcPr>
          <w:p w14:paraId="47D7F9A5" w14:textId="77777777" w:rsidR="00241BD9" w:rsidRPr="005C2884" w:rsidRDefault="00241BD9" w:rsidP="00F712FC">
            <w:pPr>
              <w:spacing w:after="200" w:line="276" w:lineRule="auto"/>
              <w:jc w:val="center"/>
              <w:rPr>
                <w:rFonts w:eastAsia="Arial" w:cs="Arial"/>
                <w:sz w:val="18"/>
                <w:szCs w:val="18"/>
              </w:rPr>
            </w:pPr>
            <w:r w:rsidRPr="005C2884">
              <w:rPr>
                <w:rFonts w:eastAsia="Arial" w:cs="Arial"/>
                <w:b/>
                <w:sz w:val="18"/>
                <w:szCs w:val="18"/>
              </w:rPr>
              <w:t>5.</w:t>
            </w:r>
          </w:p>
        </w:tc>
        <w:tc>
          <w:tcPr>
            <w:tcW w:w="4471" w:type="pct"/>
          </w:tcPr>
          <w:p w14:paraId="43911CF0"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b/>
                <w:sz w:val="18"/>
                <w:szCs w:val="18"/>
              </w:rPr>
              <w:t>Apdrošināšanas atlīdzības aprēķināšanas principi un metodika:</w:t>
            </w:r>
          </w:p>
        </w:tc>
        <w:tc>
          <w:tcPr>
            <w:tcW w:w="119" w:type="pct"/>
          </w:tcPr>
          <w:p w14:paraId="310FEF8A" w14:textId="77777777" w:rsidR="00241BD9" w:rsidRPr="005C2884" w:rsidRDefault="00241BD9" w:rsidP="00F712FC">
            <w:pPr>
              <w:spacing w:after="200" w:line="276" w:lineRule="auto"/>
              <w:rPr>
                <w:rFonts w:eastAsia="Arial" w:cs="Arial"/>
                <w:i/>
                <w:sz w:val="18"/>
                <w:szCs w:val="18"/>
              </w:rPr>
            </w:pPr>
          </w:p>
        </w:tc>
      </w:tr>
      <w:tr w:rsidR="00241BD9" w:rsidRPr="005C2884" w14:paraId="60D54D53" w14:textId="77777777" w:rsidTr="00F712FC">
        <w:tc>
          <w:tcPr>
            <w:tcW w:w="410" w:type="pct"/>
          </w:tcPr>
          <w:p w14:paraId="0AE6EE0E"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5.1.</w:t>
            </w:r>
          </w:p>
        </w:tc>
        <w:tc>
          <w:tcPr>
            <w:tcW w:w="4471" w:type="pct"/>
          </w:tcPr>
          <w:p w14:paraId="5847403D"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 xml:space="preserve">zaudējums būtu atlīdzināms tikai tehnikas bojāejas gadījumā, ja bojājums tehnikai pārsniedz 80% no transportlīdzekļa </w:t>
            </w:r>
            <w:r>
              <w:rPr>
                <w:rFonts w:eastAsia="Arial" w:cs="Arial"/>
                <w:sz w:val="18"/>
                <w:szCs w:val="18"/>
                <w:lang w:eastAsia="zh-CN"/>
              </w:rPr>
              <w:t xml:space="preserve">pieņemtās </w:t>
            </w:r>
            <w:r w:rsidRPr="005C2884">
              <w:rPr>
                <w:rFonts w:eastAsia="Arial" w:cs="Arial"/>
                <w:sz w:val="18"/>
                <w:szCs w:val="18"/>
                <w:lang w:eastAsia="zh-CN"/>
              </w:rPr>
              <w:t xml:space="preserve">apdrošinājuma summas (agreed value). </w:t>
            </w:r>
          </w:p>
        </w:tc>
        <w:tc>
          <w:tcPr>
            <w:tcW w:w="119" w:type="pct"/>
          </w:tcPr>
          <w:p w14:paraId="407843FE" w14:textId="77777777" w:rsidR="00241BD9" w:rsidRPr="005C2884" w:rsidRDefault="00241BD9" w:rsidP="00F712FC">
            <w:pPr>
              <w:spacing w:after="200" w:line="276" w:lineRule="auto"/>
              <w:rPr>
                <w:rFonts w:eastAsia="Arial" w:cs="Arial"/>
                <w:i/>
                <w:sz w:val="18"/>
                <w:szCs w:val="18"/>
              </w:rPr>
            </w:pPr>
          </w:p>
        </w:tc>
      </w:tr>
      <w:tr w:rsidR="00241BD9" w:rsidRPr="005C2884" w14:paraId="1E2A4386" w14:textId="77777777" w:rsidTr="00F712FC">
        <w:tc>
          <w:tcPr>
            <w:tcW w:w="410" w:type="pct"/>
          </w:tcPr>
          <w:p w14:paraId="72045220" w14:textId="77777777" w:rsidR="00241BD9" w:rsidRPr="005C2884" w:rsidRDefault="00241BD9" w:rsidP="00F712FC">
            <w:pPr>
              <w:spacing w:after="200" w:line="276" w:lineRule="auto"/>
              <w:jc w:val="center"/>
              <w:rPr>
                <w:rFonts w:eastAsia="Arial" w:cs="Arial"/>
                <w:b/>
                <w:sz w:val="18"/>
                <w:szCs w:val="18"/>
              </w:rPr>
            </w:pPr>
            <w:r w:rsidRPr="005C2884">
              <w:rPr>
                <w:rFonts w:eastAsia="Arial" w:cs="Arial"/>
                <w:sz w:val="18"/>
                <w:szCs w:val="18"/>
              </w:rPr>
              <w:t>6.</w:t>
            </w:r>
          </w:p>
        </w:tc>
        <w:tc>
          <w:tcPr>
            <w:tcW w:w="4471" w:type="pct"/>
          </w:tcPr>
          <w:p w14:paraId="2ACF81D3" w14:textId="77777777" w:rsidR="00241BD9" w:rsidRPr="005C2884" w:rsidRDefault="00241BD9" w:rsidP="00F712FC">
            <w:pPr>
              <w:suppressAutoHyphens/>
              <w:autoSpaceDE w:val="0"/>
              <w:spacing w:after="200" w:line="276" w:lineRule="auto"/>
              <w:jc w:val="both"/>
              <w:rPr>
                <w:rFonts w:eastAsia="Arial" w:cs="Arial"/>
                <w:b/>
                <w:sz w:val="18"/>
                <w:szCs w:val="18"/>
                <w:lang w:eastAsia="zh-CN"/>
              </w:rPr>
            </w:pPr>
            <w:r w:rsidRPr="005C2884">
              <w:rPr>
                <w:rFonts w:eastAsia="Arial" w:cs="Arial"/>
                <w:sz w:val="18"/>
                <w:szCs w:val="18"/>
                <w:lang w:eastAsia="zh-CN"/>
              </w:rPr>
              <w:t>Apdrošināšanas segums tiks nodrošināts, neizvirzot papildus prasības attiecībā uz apdrošināšanas objektu atrašanās vietu (laikā, kad tie nepiedalās ceļu satiksmē) ugunsdrošību un apsardzi, pastāvot nosacījumam, ka Pasūtītājs ievēro normatīvajos aktos noteiktās drošības prasības un apdrošināšanas līguma termiņa laikā saglabā apdrošināšanas līguma noslēgšanas brīdī esošo drošības pasākumu līmeni, kā arī ievēro un izpilda VUGD saistošajos dokumentos norādītās prasības.</w:t>
            </w:r>
          </w:p>
        </w:tc>
        <w:tc>
          <w:tcPr>
            <w:tcW w:w="119" w:type="pct"/>
          </w:tcPr>
          <w:p w14:paraId="75B43A37" w14:textId="77777777" w:rsidR="00241BD9" w:rsidRPr="005C2884" w:rsidRDefault="00241BD9" w:rsidP="00F712FC">
            <w:pPr>
              <w:spacing w:after="200" w:line="276" w:lineRule="auto"/>
              <w:rPr>
                <w:rFonts w:eastAsia="Arial" w:cs="Arial"/>
                <w:i/>
                <w:sz w:val="18"/>
                <w:szCs w:val="18"/>
              </w:rPr>
            </w:pPr>
          </w:p>
        </w:tc>
      </w:tr>
      <w:tr w:rsidR="00241BD9" w:rsidRPr="005C2884" w14:paraId="72ED211D" w14:textId="77777777" w:rsidTr="00F712FC">
        <w:tc>
          <w:tcPr>
            <w:tcW w:w="410" w:type="pct"/>
          </w:tcPr>
          <w:p w14:paraId="566D22C0"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7.</w:t>
            </w:r>
          </w:p>
        </w:tc>
        <w:tc>
          <w:tcPr>
            <w:tcW w:w="4471" w:type="pct"/>
          </w:tcPr>
          <w:p w14:paraId="33DB0CFF"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3.10. punkta ietvaros tiek segti arī darbinieku (izņemot Pasūtītājs valdes locekļu) nodarīti zaudējumi, tai skaitā, to rupjas neuzmanības un tīšas rīcības rezultātā. Pretendents nav tiesīgs atlikt lēmumu par apdrošināšanas atlīdzības izmaksu līdz tiesvedības pabeigšanai, ja vien nav ierosināta administratīvā vai krimināllieta pret Pasūtītāja valdes locekļiem.</w:t>
            </w:r>
          </w:p>
        </w:tc>
        <w:tc>
          <w:tcPr>
            <w:tcW w:w="119" w:type="pct"/>
          </w:tcPr>
          <w:p w14:paraId="758E6607" w14:textId="77777777" w:rsidR="00241BD9" w:rsidRPr="005C2884" w:rsidRDefault="00241BD9" w:rsidP="00F712FC">
            <w:pPr>
              <w:spacing w:after="200" w:line="276" w:lineRule="auto"/>
              <w:rPr>
                <w:rFonts w:eastAsia="Arial" w:cs="Arial"/>
                <w:i/>
                <w:sz w:val="18"/>
                <w:szCs w:val="18"/>
              </w:rPr>
            </w:pPr>
          </w:p>
        </w:tc>
      </w:tr>
      <w:tr w:rsidR="00241BD9" w:rsidRPr="005C2884" w14:paraId="1AB7EA0A" w14:textId="77777777" w:rsidTr="00F712FC">
        <w:tc>
          <w:tcPr>
            <w:tcW w:w="410" w:type="pct"/>
          </w:tcPr>
          <w:p w14:paraId="0E1C3812"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8.</w:t>
            </w:r>
          </w:p>
        </w:tc>
        <w:tc>
          <w:tcPr>
            <w:tcW w:w="4471" w:type="pct"/>
          </w:tcPr>
          <w:p w14:paraId="6B9FB89E"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3.10. punkta ietvaros tiek segti arī pasažieru un jebkuru citu personu, kas nav Pasūtītāja darbinieki un kurām tiek piešķirtas apdrošināto objektu lietošanas tiesības, nodarīti zaudējumi, tai skaitā, to rupjas neuzmanības un tīšas rīcības rezultātā.</w:t>
            </w:r>
          </w:p>
        </w:tc>
        <w:tc>
          <w:tcPr>
            <w:tcW w:w="119" w:type="pct"/>
          </w:tcPr>
          <w:p w14:paraId="697A7A6F" w14:textId="77777777" w:rsidR="00241BD9" w:rsidRPr="005C2884" w:rsidRDefault="00241BD9" w:rsidP="00F712FC">
            <w:pPr>
              <w:spacing w:after="200" w:line="276" w:lineRule="auto"/>
              <w:rPr>
                <w:rFonts w:eastAsia="Arial" w:cs="Arial"/>
                <w:i/>
                <w:sz w:val="18"/>
                <w:szCs w:val="18"/>
              </w:rPr>
            </w:pPr>
          </w:p>
        </w:tc>
      </w:tr>
      <w:tr w:rsidR="00241BD9" w:rsidRPr="005C2884" w14:paraId="504F7A41" w14:textId="77777777" w:rsidTr="00F712FC">
        <w:tc>
          <w:tcPr>
            <w:tcW w:w="410" w:type="pct"/>
          </w:tcPr>
          <w:p w14:paraId="1C9A42D3"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9.</w:t>
            </w:r>
          </w:p>
        </w:tc>
        <w:tc>
          <w:tcPr>
            <w:tcW w:w="4471" w:type="pct"/>
          </w:tcPr>
          <w:p w14:paraId="65024D2D"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Apdrošināšanas gadījuma pieteikšanas minimālais termiņš – 5 (piecas) darba dienas no apdrošināšanas gadījuma konstatēšanas brīža.</w:t>
            </w:r>
          </w:p>
        </w:tc>
        <w:tc>
          <w:tcPr>
            <w:tcW w:w="119" w:type="pct"/>
          </w:tcPr>
          <w:p w14:paraId="24579DDA" w14:textId="77777777" w:rsidR="00241BD9" w:rsidRPr="005C2884" w:rsidRDefault="00241BD9" w:rsidP="00F712FC">
            <w:pPr>
              <w:spacing w:after="200" w:line="276" w:lineRule="auto"/>
              <w:rPr>
                <w:rFonts w:eastAsia="Arial" w:cs="Arial"/>
                <w:i/>
                <w:sz w:val="18"/>
                <w:szCs w:val="18"/>
              </w:rPr>
            </w:pPr>
          </w:p>
        </w:tc>
      </w:tr>
      <w:tr w:rsidR="00241BD9" w:rsidRPr="005C2884" w14:paraId="7B2EC9A1" w14:textId="77777777" w:rsidTr="00F712FC">
        <w:tc>
          <w:tcPr>
            <w:tcW w:w="410" w:type="pct"/>
          </w:tcPr>
          <w:p w14:paraId="1411E316" w14:textId="77777777" w:rsidR="00241BD9" w:rsidRPr="005C2884" w:rsidRDefault="00241BD9" w:rsidP="00F712FC">
            <w:pPr>
              <w:spacing w:after="200" w:line="276" w:lineRule="auto"/>
              <w:jc w:val="center"/>
              <w:rPr>
                <w:rFonts w:eastAsia="Arial" w:cs="Arial"/>
                <w:sz w:val="18"/>
                <w:szCs w:val="18"/>
              </w:rPr>
            </w:pPr>
            <w:r w:rsidRPr="005C2884">
              <w:rPr>
                <w:rFonts w:eastAsia="Arial" w:cs="Arial"/>
                <w:sz w:val="18"/>
                <w:szCs w:val="18"/>
              </w:rPr>
              <w:t>10.</w:t>
            </w:r>
          </w:p>
        </w:tc>
        <w:tc>
          <w:tcPr>
            <w:tcW w:w="4471" w:type="pct"/>
          </w:tcPr>
          <w:p w14:paraId="0D4183CF" w14:textId="77777777" w:rsidR="00241BD9" w:rsidRPr="005C2884" w:rsidRDefault="00241BD9" w:rsidP="00F712FC">
            <w:pPr>
              <w:suppressAutoHyphens/>
              <w:autoSpaceDE w:val="0"/>
              <w:spacing w:after="200" w:line="276" w:lineRule="auto"/>
              <w:jc w:val="both"/>
              <w:rPr>
                <w:rFonts w:eastAsia="Arial" w:cs="Arial"/>
                <w:sz w:val="18"/>
                <w:szCs w:val="18"/>
                <w:lang w:eastAsia="zh-CN"/>
              </w:rPr>
            </w:pPr>
            <w:r w:rsidRPr="005C2884">
              <w:rPr>
                <w:rFonts w:eastAsia="Arial" w:cs="Arial"/>
                <w:sz w:val="18"/>
                <w:szCs w:val="18"/>
                <w:lang w:eastAsia="zh-CN"/>
              </w:rPr>
              <w:t>Subrogācijas prasība par izmaksāto atlīdzību netiek vērsta pret Pasūtītāja darbiniekiem, izņemot, ja tie ir rīkojušies tīši, ļaunprātīgi vai rupji neuzmanīgi.</w:t>
            </w:r>
          </w:p>
        </w:tc>
        <w:tc>
          <w:tcPr>
            <w:tcW w:w="119" w:type="pct"/>
          </w:tcPr>
          <w:p w14:paraId="256A543F" w14:textId="77777777" w:rsidR="00241BD9" w:rsidRPr="005C2884" w:rsidRDefault="00241BD9" w:rsidP="00F712FC">
            <w:pPr>
              <w:spacing w:after="200" w:line="276" w:lineRule="auto"/>
              <w:rPr>
                <w:rFonts w:eastAsia="Arial" w:cs="Arial"/>
                <w:i/>
                <w:sz w:val="18"/>
                <w:szCs w:val="18"/>
              </w:rPr>
            </w:pPr>
          </w:p>
        </w:tc>
      </w:tr>
    </w:tbl>
    <w:p w14:paraId="4CFA1009" w14:textId="77777777" w:rsidR="00241BD9" w:rsidRDefault="00241BD9" w:rsidP="00241BD9">
      <w:pPr>
        <w:spacing w:before="120" w:after="120"/>
        <w:ind w:left="644"/>
        <w:jc w:val="right"/>
        <w:rPr>
          <w:rFonts w:ascii="Times New Roman" w:hAnsi="Times New Roman"/>
          <w:b/>
          <w:bCs/>
          <w:szCs w:val="24"/>
        </w:rPr>
      </w:pPr>
    </w:p>
    <w:p w14:paraId="30460E80" w14:textId="77777777" w:rsidR="00241BD9" w:rsidRDefault="00241BD9" w:rsidP="00241BD9">
      <w:pPr>
        <w:spacing w:before="120" w:after="120"/>
        <w:ind w:left="644"/>
        <w:jc w:val="right"/>
        <w:rPr>
          <w:rFonts w:ascii="Times New Roman" w:hAnsi="Times New Roman"/>
          <w:b/>
          <w:bCs/>
          <w:szCs w:val="24"/>
        </w:rPr>
      </w:pPr>
    </w:p>
    <w:p w14:paraId="0AA70731" w14:textId="77777777" w:rsidR="00241BD9" w:rsidRDefault="00241BD9" w:rsidP="00241BD9">
      <w:pPr>
        <w:spacing w:before="120" w:after="120"/>
        <w:rPr>
          <w:rFonts w:ascii="Times New Roman" w:hAnsi="Times New Roman"/>
          <w:b/>
          <w:bCs/>
          <w:szCs w:val="24"/>
        </w:rPr>
      </w:pPr>
    </w:p>
    <w:p w14:paraId="44CB893D" w14:textId="77777777" w:rsidR="00241BD9" w:rsidRDefault="00241BD9" w:rsidP="00241BD9">
      <w:pPr>
        <w:spacing w:before="120" w:after="120"/>
        <w:ind w:left="644"/>
        <w:jc w:val="right"/>
        <w:rPr>
          <w:rFonts w:ascii="Times New Roman" w:hAnsi="Times New Roman"/>
          <w:b/>
          <w:bCs/>
          <w:szCs w:val="24"/>
        </w:rPr>
      </w:pPr>
    </w:p>
    <w:p w14:paraId="4F5CC9F8" w14:textId="77777777" w:rsidR="00241BD9" w:rsidRDefault="00241BD9" w:rsidP="00241BD9">
      <w:pPr>
        <w:spacing w:before="120" w:after="120"/>
        <w:ind w:left="644"/>
        <w:jc w:val="right"/>
        <w:rPr>
          <w:rFonts w:ascii="Times New Roman" w:hAnsi="Times New Roman"/>
          <w:b/>
          <w:bCs/>
          <w:szCs w:val="24"/>
        </w:rPr>
      </w:pPr>
    </w:p>
    <w:p w14:paraId="776F4024" w14:textId="77777777" w:rsidR="001D0A46" w:rsidRDefault="001D0A46"/>
    <w:sectPr w:rsidR="001D0A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D9"/>
    <w:rsid w:val="001D0A46"/>
    <w:rsid w:val="00241BD9"/>
    <w:rsid w:val="00446C21"/>
    <w:rsid w:val="004A0C22"/>
    <w:rsid w:val="005042FC"/>
    <w:rsid w:val="006F4DFC"/>
    <w:rsid w:val="007623A5"/>
    <w:rsid w:val="008B3941"/>
    <w:rsid w:val="00C2524C"/>
    <w:rsid w:val="00F718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E3EC"/>
  <w15:chartTrackingRefBased/>
  <w15:docId w15:val="{9794D077-7BE0-423C-95EF-82006D9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D9"/>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20597</Words>
  <Characters>11741</Characters>
  <Application>Microsoft Office Word</Application>
  <DocSecurity>0</DocSecurity>
  <Lines>97</Lines>
  <Paragraphs>64</Paragraphs>
  <ScaleCrop>false</ScaleCrop>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Sandra Čakša</cp:lastModifiedBy>
  <cp:revision>8</cp:revision>
  <dcterms:created xsi:type="dcterms:W3CDTF">2024-07-02T11:45:00Z</dcterms:created>
  <dcterms:modified xsi:type="dcterms:W3CDTF">2024-07-02T12:28:00Z</dcterms:modified>
</cp:coreProperties>
</file>