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1E72" w14:textId="46F694F3" w:rsidR="00257558" w:rsidRPr="001E1086" w:rsidRDefault="00EC5FF0" w:rsidP="008F75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103263"/>
      <w:r w:rsidRPr="001E108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709FB989" w14:textId="7DBE3C13" w:rsidR="008F75CD" w:rsidRPr="001E1086" w:rsidRDefault="00675247" w:rsidP="008F75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321896"/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Par RP SIA “Rīgas satiksme” </w:t>
      </w:r>
      <w:bookmarkStart w:id="2" w:name="_Hlk169112453"/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transportlīdzekļu </w:t>
      </w:r>
      <w:proofErr w:type="spellStart"/>
      <w:r w:rsidR="008860BE" w:rsidRPr="001E1086">
        <w:rPr>
          <w:rFonts w:ascii="Times New Roman" w:hAnsi="Times New Roman" w:cs="Times New Roman"/>
          <w:b/>
          <w:bCs/>
          <w:sz w:val="24"/>
          <w:szCs w:val="24"/>
        </w:rPr>
        <w:t>pēcgarantijas</w:t>
      </w:r>
      <w:proofErr w:type="spellEnd"/>
      <w:r w:rsidR="008860BE"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pasažieru informācijas </w:t>
      </w:r>
      <w:r w:rsidR="0068276A"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sistēmas </w:t>
      </w:r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salona </w:t>
      </w:r>
      <w:r w:rsidR="000F76F5"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LCD </w:t>
      </w:r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monitoru </w:t>
      </w:r>
      <w:bookmarkEnd w:id="2"/>
      <w:r w:rsidR="000F76F5"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darbības </w:t>
      </w:r>
      <w:r w:rsidR="001C293E" w:rsidRPr="001E1086">
        <w:rPr>
          <w:rFonts w:ascii="Times New Roman" w:hAnsi="Times New Roman" w:cs="Times New Roman"/>
          <w:b/>
          <w:bCs/>
          <w:sz w:val="24"/>
          <w:szCs w:val="24"/>
        </w:rPr>
        <w:t>atjaunošan</w:t>
      </w:r>
      <w:r w:rsidR="003658DF" w:rsidRPr="001E108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C293E"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0F76F5" w:rsidRPr="001E1086">
        <w:rPr>
          <w:rFonts w:ascii="Times New Roman" w:hAnsi="Times New Roman" w:cs="Times New Roman"/>
          <w:b/>
          <w:bCs/>
          <w:sz w:val="24"/>
          <w:szCs w:val="24"/>
        </w:rPr>
        <w:t>nodrošināšan</w:t>
      </w:r>
      <w:r w:rsidR="003658DF" w:rsidRPr="001E108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4058849D" w14:textId="77777777" w:rsidR="009E3FC6" w:rsidRPr="001E1086" w:rsidRDefault="009E3FC6" w:rsidP="00FB022D">
      <w:pPr>
        <w:spacing w:after="120" w:line="24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8B0F2" w14:textId="63C421E4" w:rsidR="00326C8D" w:rsidRPr="001E1086" w:rsidRDefault="009E3FC6" w:rsidP="009E3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Pr="001E1086">
        <w:rPr>
          <w:rFonts w:ascii="Times New Roman" w:hAnsi="Times New Roman" w:cs="Times New Roman"/>
          <w:sz w:val="24"/>
          <w:szCs w:val="24"/>
        </w:rPr>
        <w:t>: RP SIA “Rīgas satiksme” (turpmāk – Pasūtītājs) sabiedriskajā transportā, t.i., autobusos, trolejbusos (</w:t>
      </w:r>
      <w:proofErr w:type="spellStart"/>
      <w:r w:rsidRPr="001E1086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1E1086">
        <w:rPr>
          <w:rFonts w:ascii="Times New Roman" w:hAnsi="Times New Roman" w:cs="Times New Roman"/>
          <w:sz w:val="24"/>
          <w:szCs w:val="24"/>
        </w:rPr>
        <w:t>) un 1. piegādes zemās grīdas tramvajos (</w:t>
      </w:r>
      <w:proofErr w:type="spellStart"/>
      <w:r w:rsidRPr="001E1086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1E1086">
        <w:rPr>
          <w:rFonts w:ascii="Times New Roman" w:hAnsi="Times New Roman" w:cs="Times New Roman"/>
          <w:sz w:val="24"/>
          <w:szCs w:val="24"/>
        </w:rPr>
        <w:t>), kam beigusies ražotāja noteiktā garantija (turpmāk – Transportlīdzekļi), uzstādīto pasažieru informācijas sistēmas salona LCD monitoru darbības atjaunošana un nodrošināšana</w:t>
      </w:r>
      <w:r w:rsidR="00187E92" w:rsidRPr="001E1086">
        <w:rPr>
          <w:rFonts w:ascii="Times New Roman" w:hAnsi="Times New Roman" w:cs="Times New Roman"/>
          <w:sz w:val="24"/>
          <w:szCs w:val="24"/>
        </w:rPr>
        <w:t>.</w:t>
      </w:r>
    </w:p>
    <w:p w14:paraId="3CDE051E" w14:textId="7EE44798" w:rsidR="00C20D9D" w:rsidRPr="00F513E7" w:rsidRDefault="004C74C1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Plānotais l</w:t>
      </w:r>
      <w:r w:rsidR="009E3FC6"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īguma termiņš</w:t>
      </w:r>
      <w:r w:rsidR="0093402B"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, kas sastāv no:</w:t>
      </w:r>
    </w:p>
    <w:p w14:paraId="4F20B69B" w14:textId="1A8ACD73" w:rsidR="0093402B" w:rsidRPr="00F513E7" w:rsidRDefault="00690839" w:rsidP="0093402B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tehniskā risinājuma </w:t>
      </w:r>
      <w:r w:rsidR="00EA24BB"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ieviešanai </w:t>
      </w:r>
      <w:r w:rsidR="008C5190"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(t.sk. iekārtu piegādei) </w:t>
      </w:r>
      <w:r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- </w:t>
      </w:r>
      <w:r w:rsidR="00F513E7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6</w:t>
      </w:r>
      <w:r w:rsidR="009E3FC6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mēneši</w:t>
      </w:r>
      <w:r w:rsidR="00F071C3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;</w:t>
      </w:r>
    </w:p>
    <w:p w14:paraId="48DE0AB9" w14:textId="0D23884B" w:rsidR="007E3BB4" w:rsidRPr="00F513E7" w:rsidRDefault="008C5190" w:rsidP="00273761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F513E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garantijas periods - </w:t>
      </w:r>
      <w:r w:rsidR="00EA24BB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36 mēneši </w:t>
      </w:r>
      <w:r w:rsidR="00F45321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pēc</w:t>
      </w:r>
      <w:r w:rsidR="0093402B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F071C3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nodevuma parakstīšanas</w:t>
      </w:r>
      <w:r w:rsidR="00F13898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par </w:t>
      </w:r>
      <w:proofErr w:type="gramStart"/>
      <w:r w:rsidR="00844D95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konkrēto </w:t>
      </w:r>
      <w:r w:rsidR="00F13898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iekārtu piegād</w:t>
      </w:r>
      <w:r w:rsidR="00F45321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i</w:t>
      </w:r>
      <w:proofErr w:type="gramEnd"/>
      <w:r w:rsidR="00F513E7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un programmatūra darbojas uz piegādātajām iekārtām</w:t>
      </w:r>
      <w:r w:rsidR="0052208F" w:rsidRPr="00F513E7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.</w:t>
      </w:r>
    </w:p>
    <w:p w14:paraId="1C9613AA" w14:textId="71F22211" w:rsidR="00273761" w:rsidRPr="001E1086" w:rsidRDefault="00273761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lv-LV"/>
        </w:rPr>
        <w:t>Samaksa:</w:t>
      </w:r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Pasūtītājs nodrošina samaksu par piegādātajām iekārtām (pēc nodevuma parakstīšanas par noteiktu apjomu)</w:t>
      </w:r>
      <w:r w:rsidR="00B443DF"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pilnā apmērā</w:t>
      </w:r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.</w:t>
      </w:r>
    </w:p>
    <w:p w14:paraId="3216B365" w14:textId="0EA86E48" w:rsidR="009E3FC6" w:rsidRPr="001E1086" w:rsidRDefault="009E3FC6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Esoša situācija:</w:t>
      </w:r>
      <w:r w:rsidRPr="001E1086">
        <w:rPr>
          <w:rFonts w:ascii="Times New Roman" w:hAnsi="Times New Roman" w:cs="Times New Roman"/>
          <w:sz w:val="24"/>
          <w:szCs w:val="24"/>
          <w:lang w:eastAsia="lv-LV"/>
        </w:rPr>
        <w:t xml:space="preserve"> Pasūtītāju rīcībā ir dažāda veida un ražotāju transportlīdzekļi ar LCD tipa monitoriem (LCD monitoru skaits </w:t>
      </w:r>
      <w:r w:rsidR="00273761" w:rsidRPr="001E1086">
        <w:rPr>
          <w:rFonts w:ascii="Times New Roman" w:hAnsi="Times New Roman" w:cs="Times New Roman"/>
          <w:sz w:val="24"/>
          <w:szCs w:val="24"/>
          <w:lang w:eastAsia="lv-LV"/>
        </w:rPr>
        <w:t xml:space="preserve">350 </w:t>
      </w:r>
      <w:r w:rsidRPr="001E1086">
        <w:rPr>
          <w:rFonts w:ascii="Times New Roman" w:hAnsi="Times New Roman" w:cs="Times New Roman"/>
          <w:sz w:val="24"/>
          <w:szCs w:val="24"/>
          <w:lang w:eastAsia="lv-LV"/>
        </w:rPr>
        <w:t xml:space="preserve">vienības) ar atšķirīgu izšķirtspēju (detalizēts transportlīdzekļu modeļu saraksts un skaits 1. </w:t>
      </w:r>
      <w:r w:rsidR="00251288" w:rsidRPr="001E1086">
        <w:rPr>
          <w:rFonts w:ascii="Times New Roman" w:hAnsi="Times New Roman" w:cs="Times New Roman"/>
          <w:sz w:val="24"/>
          <w:szCs w:val="24"/>
          <w:lang w:eastAsia="lv-LV"/>
        </w:rPr>
        <w:t>tabulā</w:t>
      </w:r>
      <w:r w:rsidRPr="001E1086">
        <w:rPr>
          <w:rFonts w:ascii="Times New Roman" w:hAnsi="Times New Roman" w:cs="Times New Roman"/>
          <w:sz w:val="24"/>
          <w:szCs w:val="24"/>
          <w:lang w:eastAsia="lv-LV"/>
        </w:rPr>
        <w:t>).</w:t>
      </w:r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Esošie LCD monitoru risinājumi ir pieslēgti pie tīkla komutatora, kas savienots ar Pasūtītāja mobilo rūteri 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Teltonika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RUTX50 (https://wiki.teltonika-networks.com/view/RUTX50_Manual). Datu 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pieslēgums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ar Pasūtītāja ERP sistēmas (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Porteus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) serveri Microsoft 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Azure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ir nodrošināts ar privāto APN starpniecību un izmantojot Microsoft 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Azure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Express </w:t>
      </w:r>
      <w:proofErr w:type="spellStart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route</w:t>
      </w:r>
      <w:proofErr w:type="spellEnd"/>
      <w:r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, izmantojot privāto IP adresāciju un DNS ierakstus. Iekšējais transportlīdzekļa tīkls ir ar fiksētām IP adresēm. Transportlīdzekļos ir mainīgs spriegums un standarta diapazons 12V-36V DC, kā arī iespējamas straujas temperatūras svārstības ziemas mēnešos ar regulāru kondensāta zonas šķērsošanu. Transportlīdzekļi kustības laikā rada regulāras vibrācijas, kas rada papildu prasības stiprinājumiem un savienojumiem. </w:t>
      </w:r>
      <w:r w:rsidR="00690839"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Plānotā iepirkuma ietvaros </w:t>
      </w:r>
      <w:r w:rsidR="00EC142A"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būs nepieciešams atjaunot LCD monitoru darbību –350 LCD monitori</w:t>
      </w:r>
      <w:r w:rsidR="007F3578"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em</w:t>
      </w:r>
      <w:r w:rsidR="00D70C68" w:rsidRPr="001E108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.</w:t>
      </w:r>
    </w:p>
    <w:p w14:paraId="6BB996FD" w14:textId="77777777" w:rsidR="00251288" w:rsidRPr="001E1086" w:rsidRDefault="00251288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3DD04886" w14:textId="77777777" w:rsidR="00251288" w:rsidRPr="001E1086" w:rsidRDefault="00251288" w:rsidP="0025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Pasūtītāja rīcībā esošiem transportlīdzekļiem, </w:t>
      </w:r>
    </w:p>
    <w:p w14:paraId="7A7B056F" w14:textId="77777777" w:rsidR="00251288" w:rsidRPr="001E1086" w:rsidRDefault="00251288" w:rsidP="0025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</w:rPr>
        <w:t>kam beigusies ražotāja noteiktā garantija</w:t>
      </w:r>
    </w:p>
    <w:p w14:paraId="5C8C5B79" w14:textId="2E611BB4" w:rsidR="00251288" w:rsidRPr="001E1086" w:rsidRDefault="003002B8" w:rsidP="00251288">
      <w:pPr>
        <w:pStyle w:val="ListParagraph"/>
        <w:numPr>
          <w:ilvl w:val="0"/>
          <w:numId w:val="18"/>
        </w:num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08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51288" w:rsidRPr="001E1086">
        <w:rPr>
          <w:rFonts w:ascii="Times New Roman" w:hAnsi="Times New Roman" w:cs="Times New Roman"/>
          <w:i/>
          <w:iCs/>
          <w:sz w:val="24"/>
          <w:szCs w:val="24"/>
        </w:rPr>
        <w:t>abula</w:t>
      </w:r>
    </w:p>
    <w:p w14:paraId="4A7FA254" w14:textId="2FE4D24C" w:rsidR="00A7186E" w:rsidRPr="001E1086" w:rsidRDefault="00A7186E" w:rsidP="003002B8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E1086">
        <w:rPr>
          <w:rFonts w:ascii="Times New Roman" w:hAnsi="Times New Roman" w:cs="Times New Roman"/>
          <w:i/>
          <w:iCs/>
          <w:sz w:val="24"/>
          <w:szCs w:val="24"/>
        </w:rPr>
        <w:t xml:space="preserve">“**”- </w:t>
      </w:r>
      <w:r w:rsidR="001438FE" w:rsidRPr="001E1086">
        <w:rPr>
          <w:rFonts w:ascii="Times New Roman" w:hAnsi="Times New Roman" w:cs="Times New Roman"/>
          <w:i/>
          <w:iCs/>
          <w:sz w:val="24"/>
          <w:szCs w:val="24"/>
        </w:rPr>
        <w:t xml:space="preserve">pēc tirgus izpētes </w:t>
      </w:r>
      <w:r w:rsidR="00FB022D" w:rsidRPr="001E1086">
        <w:rPr>
          <w:rFonts w:ascii="Times New Roman" w:hAnsi="Times New Roman" w:cs="Times New Roman"/>
          <w:i/>
          <w:iCs/>
          <w:sz w:val="24"/>
          <w:szCs w:val="24"/>
        </w:rPr>
        <w:t xml:space="preserve">(gatavojot iepirkuma procedūras dokumentus) </w:t>
      </w:r>
      <w:r w:rsidR="001438FE" w:rsidRPr="001E1086">
        <w:rPr>
          <w:rFonts w:ascii="Times New Roman" w:hAnsi="Times New Roman" w:cs="Times New Roman"/>
          <w:i/>
          <w:iCs/>
          <w:sz w:val="24"/>
          <w:szCs w:val="24"/>
        </w:rPr>
        <w:t>LCD monitoru skaits katrā no TL modeļa veidiem tiks precizēts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3260"/>
        <w:gridCol w:w="2410"/>
      </w:tblGrid>
      <w:tr w:rsidR="00251288" w:rsidRPr="001E1086" w14:paraId="4203D6C1" w14:textId="77777777" w:rsidTr="003002B8">
        <w:tc>
          <w:tcPr>
            <w:tcW w:w="2122" w:type="dxa"/>
            <w:shd w:val="clear" w:color="auto" w:fill="F2F2F2" w:themeFill="background1" w:themeFillShade="F2"/>
          </w:tcPr>
          <w:p w14:paraId="0F9E1D62" w14:textId="77777777" w:rsidR="00251288" w:rsidRPr="001E1086" w:rsidRDefault="00251288" w:rsidP="00857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Veids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D9E5B5" w14:textId="77777777" w:rsidR="00251288" w:rsidRPr="001E1086" w:rsidRDefault="00251288" w:rsidP="00857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Modelis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54E37EF" w14:textId="77777777" w:rsidR="00251288" w:rsidRPr="001E1086" w:rsidRDefault="00251288" w:rsidP="00857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Piegādes gads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4C483DF" w14:textId="267F0EF0" w:rsidR="00251288" w:rsidRPr="001E1086" w:rsidRDefault="00836CBF" w:rsidP="00857F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Transportlīdzekļu s</w:t>
            </w:r>
            <w:r w:rsidR="00251288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kaits</w:t>
            </w:r>
            <w:r w:rsidR="00A7186E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bet </w:t>
            </w:r>
            <w:r w:rsidR="00A316D1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monitoru skaits var </w:t>
            </w:r>
            <w:r w:rsidR="00A7186E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atšķirties atkarībā no TL modeļa</w:t>
            </w:r>
            <w:r w:rsidR="00A316D1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186E"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</w:tr>
      <w:tr w:rsidR="00251288" w:rsidRPr="001E1086" w14:paraId="5D64E730" w14:textId="77777777" w:rsidTr="003002B8">
        <w:tc>
          <w:tcPr>
            <w:tcW w:w="2122" w:type="dxa"/>
            <w:vMerge w:val="restart"/>
          </w:tcPr>
          <w:p w14:paraId="285294AA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Trolejbuss</w:t>
            </w:r>
          </w:p>
        </w:tc>
        <w:tc>
          <w:tcPr>
            <w:tcW w:w="1984" w:type="dxa"/>
            <w:vMerge w:val="restart"/>
          </w:tcPr>
          <w:p w14:paraId="031DFC7A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Škoda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27Tr</w:t>
            </w:r>
          </w:p>
        </w:tc>
        <w:tc>
          <w:tcPr>
            <w:tcW w:w="3260" w:type="dxa"/>
          </w:tcPr>
          <w:p w14:paraId="306B8912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2014./2015. gads</w:t>
            </w:r>
          </w:p>
        </w:tc>
        <w:tc>
          <w:tcPr>
            <w:tcW w:w="2410" w:type="dxa"/>
          </w:tcPr>
          <w:p w14:paraId="28764C96" w14:textId="7318E5D6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1288" w:rsidRPr="001E1086" w14:paraId="65C97568" w14:textId="77777777" w:rsidTr="003002B8">
        <w:tc>
          <w:tcPr>
            <w:tcW w:w="2122" w:type="dxa"/>
            <w:vMerge/>
          </w:tcPr>
          <w:p w14:paraId="03060E55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6089F4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91C87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2016. gads</w:t>
            </w:r>
          </w:p>
        </w:tc>
        <w:tc>
          <w:tcPr>
            <w:tcW w:w="2410" w:type="dxa"/>
          </w:tcPr>
          <w:p w14:paraId="00E82B15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288" w:rsidRPr="001E1086" w14:paraId="3135542D" w14:textId="77777777" w:rsidTr="003002B8">
        <w:tc>
          <w:tcPr>
            <w:tcW w:w="2122" w:type="dxa"/>
            <w:vMerge/>
          </w:tcPr>
          <w:p w14:paraId="7CA9FA22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EDF07A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2F3132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2018./2019. gads</w:t>
            </w:r>
          </w:p>
        </w:tc>
        <w:tc>
          <w:tcPr>
            <w:tcW w:w="2410" w:type="dxa"/>
          </w:tcPr>
          <w:p w14:paraId="5B7EF978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1288" w:rsidRPr="001E1086" w14:paraId="18BB5B9B" w14:textId="77777777" w:rsidTr="003002B8">
        <w:tc>
          <w:tcPr>
            <w:tcW w:w="2122" w:type="dxa"/>
            <w:vMerge/>
          </w:tcPr>
          <w:p w14:paraId="65EB052F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32B6D1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9C2221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2020. gads</w:t>
            </w:r>
          </w:p>
        </w:tc>
        <w:tc>
          <w:tcPr>
            <w:tcW w:w="2410" w:type="dxa"/>
          </w:tcPr>
          <w:p w14:paraId="08D61A4B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1288" w:rsidRPr="001E1086" w14:paraId="14244209" w14:textId="77777777" w:rsidTr="003002B8">
        <w:tc>
          <w:tcPr>
            <w:tcW w:w="2122" w:type="dxa"/>
            <w:vMerge w:val="restart"/>
          </w:tcPr>
          <w:p w14:paraId="66B6112A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Autobuss</w:t>
            </w:r>
          </w:p>
        </w:tc>
        <w:tc>
          <w:tcPr>
            <w:tcW w:w="1984" w:type="dxa"/>
          </w:tcPr>
          <w:p w14:paraId="71BD5983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Urbino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260" w:type="dxa"/>
          </w:tcPr>
          <w:p w14:paraId="081FEDF4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2014. gads</w:t>
            </w:r>
          </w:p>
        </w:tc>
        <w:tc>
          <w:tcPr>
            <w:tcW w:w="2410" w:type="dxa"/>
          </w:tcPr>
          <w:p w14:paraId="4BF86AC1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1288" w:rsidRPr="001E1086" w14:paraId="2C131C4A" w14:textId="77777777" w:rsidTr="003002B8">
        <w:tc>
          <w:tcPr>
            <w:tcW w:w="2122" w:type="dxa"/>
            <w:vMerge/>
          </w:tcPr>
          <w:p w14:paraId="4E061787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18217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Urbino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260" w:type="dxa"/>
          </w:tcPr>
          <w:p w14:paraId="4CA88359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2015. gads</w:t>
            </w:r>
          </w:p>
        </w:tc>
        <w:tc>
          <w:tcPr>
            <w:tcW w:w="2410" w:type="dxa"/>
          </w:tcPr>
          <w:p w14:paraId="77C3C2BF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1288" w:rsidRPr="001E1086" w14:paraId="7F069D94" w14:textId="77777777" w:rsidTr="003002B8">
        <w:tc>
          <w:tcPr>
            <w:tcW w:w="2122" w:type="dxa"/>
            <w:vMerge/>
          </w:tcPr>
          <w:p w14:paraId="743102F2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4AE35F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Urbino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260" w:type="dxa"/>
          </w:tcPr>
          <w:p w14:paraId="2F0164E4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2017. gads</w:t>
            </w:r>
          </w:p>
        </w:tc>
        <w:tc>
          <w:tcPr>
            <w:tcW w:w="2410" w:type="dxa"/>
          </w:tcPr>
          <w:p w14:paraId="63884D34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1288" w:rsidRPr="001E1086" w14:paraId="71A4890D" w14:textId="77777777" w:rsidTr="003002B8">
        <w:tc>
          <w:tcPr>
            <w:tcW w:w="2122" w:type="dxa"/>
            <w:vMerge/>
          </w:tcPr>
          <w:p w14:paraId="3BD820DD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19FEA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Urbino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260" w:type="dxa"/>
          </w:tcPr>
          <w:p w14:paraId="3B10C7D9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2017. gads</w:t>
            </w:r>
          </w:p>
        </w:tc>
        <w:tc>
          <w:tcPr>
            <w:tcW w:w="2410" w:type="dxa"/>
          </w:tcPr>
          <w:p w14:paraId="0DCFA2C8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1288" w:rsidRPr="001E1086" w14:paraId="3D299C09" w14:textId="77777777" w:rsidTr="003002B8">
        <w:tc>
          <w:tcPr>
            <w:tcW w:w="2122" w:type="dxa"/>
            <w:vMerge/>
          </w:tcPr>
          <w:p w14:paraId="502AB2FB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11962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Urbino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260" w:type="dxa"/>
          </w:tcPr>
          <w:p w14:paraId="3DD7820B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2022. gads</w:t>
            </w:r>
          </w:p>
        </w:tc>
        <w:tc>
          <w:tcPr>
            <w:tcW w:w="2410" w:type="dxa"/>
          </w:tcPr>
          <w:p w14:paraId="0FA4B7BE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288" w:rsidRPr="001E1086" w14:paraId="29F7F0FE" w14:textId="77777777" w:rsidTr="003002B8">
        <w:tc>
          <w:tcPr>
            <w:tcW w:w="2122" w:type="dxa"/>
            <w:vMerge w:val="restart"/>
          </w:tcPr>
          <w:p w14:paraId="0053DEF7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Tramvajs</w:t>
            </w:r>
          </w:p>
        </w:tc>
        <w:tc>
          <w:tcPr>
            <w:tcW w:w="1984" w:type="dxa"/>
          </w:tcPr>
          <w:p w14:paraId="2C9D471B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T-3A </w:t>
            </w:r>
          </w:p>
        </w:tc>
        <w:tc>
          <w:tcPr>
            <w:tcW w:w="3260" w:type="dxa"/>
          </w:tcPr>
          <w:p w14:paraId="28BD9215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10" w:type="dxa"/>
            <w:vMerge w:val="restart"/>
          </w:tcPr>
          <w:p w14:paraId="0B99E522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100 (vagoni)</w:t>
            </w:r>
          </w:p>
        </w:tc>
      </w:tr>
      <w:tr w:rsidR="00251288" w:rsidRPr="001E1086" w14:paraId="52976A0D" w14:textId="77777777" w:rsidTr="003002B8">
        <w:tc>
          <w:tcPr>
            <w:tcW w:w="2122" w:type="dxa"/>
            <w:vMerge/>
          </w:tcPr>
          <w:p w14:paraId="27E4F71F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E9389B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T-3M</w:t>
            </w:r>
          </w:p>
        </w:tc>
        <w:tc>
          <w:tcPr>
            <w:tcW w:w="3260" w:type="dxa"/>
          </w:tcPr>
          <w:p w14:paraId="2F2D4BB4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10" w:type="dxa"/>
            <w:vMerge/>
          </w:tcPr>
          <w:p w14:paraId="77BE1779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88" w:rsidRPr="001E1086" w14:paraId="6AF129F0" w14:textId="77777777" w:rsidTr="003002B8">
        <w:tc>
          <w:tcPr>
            <w:tcW w:w="2122" w:type="dxa"/>
            <w:vMerge w:val="restart"/>
          </w:tcPr>
          <w:p w14:paraId="15CC608C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Tramvajs </w:t>
            </w:r>
          </w:p>
          <w:p w14:paraId="5CA09CF2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(zemās grīdas)</w:t>
            </w:r>
          </w:p>
        </w:tc>
        <w:tc>
          <w:tcPr>
            <w:tcW w:w="1984" w:type="dxa"/>
          </w:tcPr>
          <w:p w14:paraId="18B1D1B3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15T </w:t>
            </w:r>
          </w:p>
        </w:tc>
        <w:tc>
          <w:tcPr>
            <w:tcW w:w="3260" w:type="dxa"/>
            <w:vMerge w:val="restart"/>
          </w:tcPr>
          <w:p w14:paraId="78C67513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2009. gads</w:t>
            </w:r>
          </w:p>
        </w:tc>
        <w:tc>
          <w:tcPr>
            <w:tcW w:w="2410" w:type="dxa"/>
            <w:vMerge w:val="restart"/>
          </w:tcPr>
          <w:p w14:paraId="70864AD1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26 (sastāvi)</w:t>
            </w:r>
          </w:p>
        </w:tc>
      </w:tr>
      <w:tr w:rsidR="00251288" w:rsidRPr="001E1086" w14:paraId="63F90FD9" w14:textId="77777777" w:rsidTr="00FB022D">
        <w:tc>
          <w:tcPr>
            <w:tcW w:w="2122" w:type="dxa"/>
            <w:vMerge/>
          </w:tcPr>
          <w:p w14:paraId="40E2B953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C7699" w14:textId="77777777" w:rsidR="00251288" w:rsidRPr="001E1086" w:rsidRDefault="00251288" w:rsidP="00857F1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15T1</w:t>
            </w:r>
          </w:p>
        </w:tc>
        <w:tc>
          <w:tcPr>
            <w:tcW w:w="3260" w:type="dxa"/>
            <w:vMerge/>
          </w:tcPr>
          <w:p w14:paraId="0E8EB66F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F9748D" w14:textId="77777777" w:rsidR="00251288" w:rsidRPr="001E1086" w:rsidRDefault="00251288" w:rsidP="00857F1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F3860" w14:textId="77777777" w:rsidR="00406782" w:rsidRPr="001E1086" w:rsidRDefault="00406782" w:rsidP="003D72D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2FEE412F" w14:textId="77777777" w:rsidR="00406782" w:rsidRPr="001E1086" w:rsidRDefault="00406782" w:rsidP="003D72D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  <w:sectPr w:rsidR="00406782" w:rsidRPr="001E1086" w:rsidSect="00406782">
          <w:pgSz w:w="11906" w:h="16838"/>
          <w:pgMar w:top="709" w:right="991" w:bottom="426" w:left="1134" w:header="709" w:footer="709" w:gutter="0"/>
          <w:cols w:space="708"/>
          <w:docGrid w:linePitch="360"/>
        </w:sectPr>
      </w:pPr>
    </w:p>
    <w:p w14:paraId="70B09809" w14:textId="4C90C9EC" w:rsidR="001A59AC" w:rsidRPr="001E1086" w:rsidRDefault="00326C8D" w:rsidP="003D72D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1E108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TEHNISKĀ PIEDĀVĀJUMA FORMA</w:t>
      </w:r>
    </w:p>
    <w:tbl>
      <w:tblPr>
        <w:tblStyle w:val="TableGrid"/>
        <w:tblW w:w="15309" w:type="dxa"/>
        <w:tblInd w:w="421" w:type="dxa"/>
        <w:tblLook w:val="04A0" w:firstRow="1" w:lastRow="0" w:firstColumn="1" w:lastColumn="0" w:noHBand="0" w:noVBand="1"/>
      </w:tblPr>
      <w:tblGrid>
        <w:gridCol w:w="8788"/>
        <w:gridCol w:w="2977"/>
        <w:gridCol w:w="3544"/>
      </w:tblGrid>
      <w:tr w:rsidR="00082FC7" w:rsidRPr="001E1086" w14:paraId="193ECFBB" w14:textId="77777777" w:rsidTr="00677C49">
        <w:tc>
          <w:tcPr>
            <w:tcW w:w="8788" w:type="dxa"/>
            <w:shd w:val="clear" w:color="auto" w:fill="92D050"/>
          </w:tcPr>
          <w:bookmarkEnd w:id="0"/>
          <w:p w14:paraId="711D2F93" w14:textId="01A99566" w:rsidR="00082FC7" w:rsidRPr="001E1086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2977" w:type="dxa"/>
            <w:shd w:val="clear" w:color="auto" w:fill="92D050"/>
          </w:tcPr>
          <w:p w14:paraId="07B71D28" w14:textId="4D7058D0" w:rsidR="00082FC7" w:rsidRPr="001E1086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tehniskais risinājums </w:t>
            </w:r>
          </w:p>
        </w:tc>
        <w:tc>
          <w:tcPr>
            <w:tcW w:w="3544" w:type="dxa"/>
            <w:shd w:val="clear" w:color="auto" w:fill="92D050"/>
          </w:tcPr>
          <w:p w14:paraId="16E639A9" w14:textId="4B94F0DF" w:rsidR="00082FC7" w:rsidRPr="001E1086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Piedāvātā risinājumi plusi </w:t>
            </w:r>
            <w:r w:rsidR="005C7D11"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(priekšrocības) </w:t>
            </w:r>
            <w:r w:rsidRPr="001E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 mīnusi, papildus komentāri un viedokļi.</w:t>
            </w:r>
          </w:p>
        </w:tc>
      </w:tr>
      <w:tr w:rsidR="009E3FC6" w:rsidRPr="001E1086" w14:paraId="4BA3F1E4" w14:textId="77777777" w:rsidTr="00677C49">
        <w:tc>
          <w:tcPr>
            <w:tcW w:w="8788" w:type="dxa"/>
            <w:shd w:val="clear" w:color="auto" w:fill="auto"/>
          </w:tcPr>
          <w:p w14:paraId="0E24A76F" w14:textId="5C8E1EA7" w:rsidR="009E3FC6" w:rsidRPr="001E1086" w:rsidDel="009E3FC6" w:rsidRDefault="00F10976" w:rsidP="005E1121">
            <w:pPr>
              <w:pStyle w:val="ListParagraph"/>
              <w:numPr>
                <w:ilvl w:val="0"/>
                <w:numId w:val="19"/>
              </w:numPr>
              <w:spacing w:after="120"/>
              <w:ind w:left="3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Pretendents nodrošina:</w:t>
            </w:r>
          </w:p>
        </w:tc>
        <w:tc>
          <w:tcPr>
            <w:tcW w:w="2977" w:type="dxa"/>
            <w:shd w:val="clear" w:color="auto" w:fill="auto"/>
          </w:tcPr>
          <w:p w14:paraId="2F37FEB4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330DC5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460E8ED8" w14:textId="77777777" w:rsidTr="00677C49">
        <w:tc>
          <w:tcPr>
            <w:tcW w:w="8788" w:type="dxa"/>
            <w:shd w:val="clear" w:color="auto" w:fill="auto"/>
          </w:tcPr>
          <w:p w14:paraId="6CA0D1AB" w14:textId="49614C53" w:rsidR="009E3FC6" w:rsidRPr="001E1086" w:rsidRDefault="00F10976" w:rsidP="000E4945">
            <w:pPr>
              <w:pStyle w:val="ListParagraph"/>
              <w:numPr>
                <w:ilvl w:val="1"/>
                <w:numId w:val="3"/>
              </w:numPr>
              <w:ind w:left="70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pilnu tehnisko risinājumu, </w:t>
            </w:r>
            <w:proofErr w:type="gram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kas paredz izšķirtspēj</w:t>
            </w:r>
            <w:r w:rsidR="00406782" w:rsidRPr="001E1086">
              <w:rPr>
                <w:rFonts w:ascii="Times New Roman" w:hAnsi="Times New Roman" w:cs="Times New Roman"/>
                <w:sz w:val="24"/>
                <w:szCs w:val="24"/>
              </w:rPr>
              <w:t>as izmaiņu veikšanu</w:t>
            </w:r>
            <w:proofErr w:type="gram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un Pasūtītāja transportlīdzekļu pasažieru informācijas sistēmas salona LCD monitoru darbības atjaunošan</w:t>
            </w:r>
            <w:r w:rsidR="00CB67B9" w:rsidRPr="001E108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un uzturēšan</w:t>
            </w:r>
            <w:r w:rsidR="00CB67B9" w:rsidRPr="001E108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, un pieslēgšan</w:t>
            </w:r>
            <w:r w:rsidR="00CB67B9" w:rsidRPr="001E108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Pasūtītāja vienotai pasažieru informācijas sistēmai CRM (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Porteus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). Transportlīdzekļi, kuros tehniskais risinājums jānodrošina 3.2. punktā norādītajā termiņā, tiks saskaņots ar Pasūtītāju pēc līguma noslēgšanas;</w:t>
            </w:r>
          </w:p>
          <w:p w14:paraId="5AC5DC63" w14:textId="12C58B36" w:rsidR="001B5268" w:rsidRPr="001E1086" w:rsidDel="009E3FC6" w:rsidRDefault="001B5268" w:rsidP="001B5268">
            <w:pPr>
              <w:pStyle w:val="ListParagraph"/>
              <w:ind w:left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3A4AA0A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1C26F0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46A1FFF9" w14:textId="77777777" w:rsidTr="00677C49">
        <w:tc>
          <w:tcPr>
            <w:tcW w:w="8788" w:type="dxa"/>
            <w:shd w:val="clear" w:color="auto" w:fill="auto"/>
          </w:tcPr>
          <w:p w14:paraId="27333DBF" w14:textId="77777777" w:rsidR="009E3FC6" w:rsidRPr="001E1086" w:rsidRDefault="00F10976" w:rsidP="000E4945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iespēju LCD monitoru vadības iekārtai pieslēgties pie Pasūtītāja pārvaldībā esošās Microsoft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infrastruktūras un tiešsaistes režīmā </w:t>
            </w:r>
            <w:r w:rsidRPr="001E1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html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formātā attēlot pasažieriem sagatavoto informāciju atbilstoši CRM prasībām;</w:t>
            </w:r>
          </w:p>
          <w:p w14:paraId="13050ED0" w14:textId="6CCEE822" w:rsidR="001B5268" w:rsidRPr="001E1086" w:rsidDel="009E3FC6" w:rsidRDefault="001B5268" w:rsidP="001B5268">
            <w:pPr>
              <w:pStyle w:val="ListParagraph"/>
              <w:spacing w:after="12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415ECA5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2460CB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79F399E6" w14:textId="77777777" w:rsidTr="00677C49">
        <w:tc>
          <w:tcPr>
            <w:tcW w:w="8788" w:type="dxa"/>
            <w:shd w:val="clear" w:color="auto" w:fill="auto"/>
          </w:tcPr>
          <w:p w14:paraId="10282ED3" w14:textId="77777777" w:rsidR="00F10976" w:rsidRPr="001E1086" w:rsidRDefault="00F10976" w:rsidP="00F10976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šādus ar iekārtas darbību saistītus parametrus:</w:t>
            </w:r>
          </w:p>
          <w:p w14:paraId="70990594" w14:textId="77777777" w:rsidR="00F10976" w:rsidRPr="001E1086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elektriskās barošanas spriegums/ strāvas padeve darba diapazonā no 12-36 VDC;</w:t>
            </w:r>
          </w:p>
          <w:p w14:paraId="3977F00F" w14:textId="77777777" w:rsidR="00F10976" w:rsidRPr="001E1086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darbības temperatūra vismaz no - 30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C līdz + 40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14:paraId="49413B80" w14:textId="77777777" w:rsidR="00F10976" w:rsidRPr="001E1086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iekārtas darbības relatīvais mitrums vismaz no 15% līdz 85%; </w:t>
            </w:r>
          </w:p>
          <w:p w14:paraId="66948559" w14:textId="77777777" w:rsidR="00F10976" w:rsidRPr="001E1086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iekārtas IP – vismaz IP30;</w:t>
            </w:r>
          </w:p>
          <w:p w14:paraId="3CB43B86" w14:textId="77777777" w:rsidR="009E3FC6" w:rsidRPr="001E1086" w:rsidRDefault="00F10976" w:rsidP="000E4945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drošs savienojums, ņemot vērā vibrācijas transportlīdzekļa kustības laikā;</w:t>
            </w:r>
          </w:p>
          <w:p w14:paraId="13B29113" w14:textId="11DF7CDE" w:rsidR="001B5268" w:rsidRPr="001E1086" w:rsidDel="009E3FC6" w:rsidRDefault="001B5268" w:rsidP="001B5268">
            <w:pPr>
              <w:pStyle w:val="ListParagraph"/>
              <w:spacing w:after="120"/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474467E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C11947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59467D6D" w14:textId="77777777" w:rsidTr="00677C49">
        <w:tc>
          <w:tcPr>
            <w:tcW w:w="8788" w:type="dxa"/>
            <w:shd w:val="clear" w:color="auto" w:fill="auto"/>
          </w:tcPr>
          <w:p w14:paraId="14ED267A" w14:textId="77777777" w:rsidR="009E3FC6" w:rsidRPr="001E1086" w:rsidRDefault="00F10976" w:rsidP="000E4945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piedāvātajām iekārtām (ja tādas papildus nepieciešamas pretendenta piedāvātajam tehniskajam risinājumam) jāatbilst šādām prasībām: vismaz 16GB RAM, vismaz 64GB SSD iekšējo datu glabātuvi, iebūvēto (borta) CPU vismaz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vienkodolu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veiktspēja 1090 un </w:t>
            </w:r>
            <w:proofErr w:type="spellStart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daudzkodolu</w:t>
            </w:r>
            <w:proofErr w:type="spellEnd"/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veiktspēja 2900 </w:t>
            </w:r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performance &amp; </w:t>
            </w:r>
            <w:proofErr w:type="spellStart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performance);</w:t>
            </w:r>
          </w:p>
          <w:p w14:paraId="5FC795F6" w14:textId="17D83937" w:rsidR="001B5268" w:rsidRPr="001E1086" w:rsidDel="009E3FC6" w:rsidRDefault="001B5268" w:rsidP="001B5268">
            <w:pPr>
              <w:pStyle w:val="ListParagraph"/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D0DF1A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60BAF08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22FDB86A" w14:textId="77777777" w:rsidTr="00677C49">
        <w:tc>
          <w:tcPr>
            <w:tcW w:w="8788" w:type="dxa"/>
            <w:shd w:val="clear" w:color="auto" w:fill="auto"/>
          </w:tcPr>
          <w:p w14:paraId="6EB288F7" w14:textId="77777777" w:rsidR="009E3FC6" w:rsidRPr="001E1086" w:rsidRDefault="00F10976" w:rsidP="000E4945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Pretendents piegādā risinājumu ar uzinstalētu visu nepieciešamo programmatūru un licencēm (ja tādas nepieciešamas);</w:t>
            </w:r>
          </w:p>
          <w:p w14:paraId="30A16F5A" w14:textId="1330C65D" w:rsidR="001B5268" w:rsidRPr="001E1086" w:rsidDel="009E3FC6" w:rsidRDefault="001B5268" w:rsidP="001B5268">
            <w:pPr>
              <w:pStyle w:val="ListParagraph"/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C3990E2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77808FE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1A195547" w14:textId="77777777" w:rsidTr="00677C49">
        <w:tc>
          <w:tcPr>
            <w:tcW w:w="8788" w:type="dxa"/>
            <w:shd w:val="clear" w:color="auto" w:fill="auto"/>
          </w:tcPr>
          <w:p w14:paraId="16DE9E8B" w14:textId="77777777" w:rsidR="009E3FC6" w:rsidRPr="001E1086" w:rsidRDefault="00F10976" w:rsidP="00981B06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Pretendents iesniedz informāciju par nepieciešamām maršrutizācijām un </w:t>
            </w:r>
            <w:proofErr w:type="spellStart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pieslēgumiem</w:t>
            </w:r>
            <w:proofErr w:type="spellEnd"/>
            <w:r w:rsidRPr="001E1086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uz Pasūtītāja iekārtām, kas tiks saskaņotas ieviešanas gaitā, bet maršrutizācija nedrīkst pārkāpt Pasūtītāja drošības politiku un procedūras.</w:t>
            </w:r>
          </w:p>
          <w:p w14:paraId="38D8365C" w14:textId="793465EA" w:rsidR="001B5268" w:rsidRPr="001E1086" w:rsidDel="009E3FC6" w:rsidRDefault="001B5268" w:rsidP="001B5268">
            <w:pPr>
              <w:pStyle w:val="ListParagraph"/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9AA3D4A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2FE1FDD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038B5B58" w14:textId="77777777" w:rsidTr="00677C49">
        <w:tc>
          <w:tcPr>
            <w:tcW w:w="8788" w:type="dxa"/>
            <w:shd w:val="clear" w:color="auto" w:fill="auto"/>
          </w:tcPr>
          <w:p w14:paraId="23304BBE" w14:textId="77777777" w:rsidR="009E3FC6" w:rsidRPr="001E1086" w:rsidRDefault="00F10976" w:rsidP="000E4945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Iekārtu nomaiņu transportlīdzekļos Pasūtītājs veiks paša spēkiem. </w:t>
            </w:r>
          </w:p>
          <w:p w14:paraId="56899BCA" w14:textId="330FA8E2" w:rsidR="001B5268" w:rsidRPr="001E1086" w:rsidDel="009E3FC6" w:rsidRDefault="001B5268" w:rsidP="001B5268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82A69B9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26DA24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2DA7773D" w14:textId="77777777" w:rsidTr="00677C49">
        <w:tc>
          <w:tcPr>
            <w:tcW w:w="8788" w:type="dxa"/>
            <w:shd w:val="clear" w:color="auto" w:fill="auto"/>
          </w:tcPr>
          <w:p w14:paraId="7E1791CD" w14:textId="2D271A26" w:rsidR="00F10976" w:rsidRPr="00096938" w:rsidRDefault="00F10976" w:rsidP="00663551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>Pretendents nodrošina pakalpojum</w:t>
            </w:r>
            <w:r w:rsidR="00E53372" w:rsidRPr="00096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 šādos termiņos:</w:t>
            </w:r>
          </w:p>
          <w:p w14:paraId="2A68B0A2" w14:textId="77777777" w:rsidR="0074555E" w:rsidRPr="00096938" w:rsidRDefault="00F10976" w:rsidP="0074555E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>vismaz 1 (viena) risinājuma prototipa (iekārtas) uzstādīšana Pasūtītāja Transportlīdzeklī - 2 (divu) nedēļu laikā pēc līguma noslēgšanas;</w:t>
            </w:r>
          </w:p>
          <w:p w14:paraId="54179176" w14:textId="680CA847" w:rsidR="009E3FC6" w:rsidRPr="00096938" w:rsidRDefault="0074555E" w:rsidP="000E4945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nodrošina tehniskā risinājuma </w:t>
            </w:r>
            <w:r w:rsidR="004E66AC"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ieviešanu </w:t>
            </w: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vismaz 350 salona LCD monitoros – </w:t>
            </w:r>
            <w:r w:rsidR="00224933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4E66AC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mēnešu laikā no līguma noslēgšanas brīža</w:t>
            </w:r>
            <w:r w:rsidR="007E3BB4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;</w:t>
            </w:r>
          </w:p>
          <w:p w14:paraId="56166589" w14:textId="20AB7C85" w:rsidR="00E53372" w:rsidRPr="00096938" w:rsidRDefault="004942A9" w:rsidP="000E4945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>Ja garantijas remontu nevar veikt 10 darba dienu laikā, tad pretendents aizvieto bojāto iekārtu ar jaunu iekārtu</w:t>
            </w:r>
            <w:r w:rsidR="00F8531A" w:rsidRPr="00096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AF245" w14:textId="7CC377B0" w:rsidR="001B5268" w:rsidRPr="00096938" w:rsidDel="009E3FC6" w:rsidRDefault="001B5268" w:rsidP="001B5268">
            <w:pPr>
              <w:pStyle w:val="ListParagraph"/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44D3FC6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944854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1208F91B" w14:textId="77777777" w:rsidTr="00971C8D">
        <w:trPr>
          <w:trHeight w:val="912"/>
        </w:trPr>
        <w:tc>
          <w:tcPr>
            <w:tcW w:w="8788" w:type="dxa"/>
            <w:shd w:val="clear" w:color="auto" w:fill="auto"/>
          </w:tcPr>
          <w:p w14:paraId="466ACF92" w14:textId="64F90BF2" w:rsidR="001B5268" w:rsidRPr="00096938" w:rsidRDefault="000E4945" w:rsidP="007E3BB4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6938">
              <w:rPr>
                <w:rFonts w:ascii="Times New Roman" w:hAnsi="Times New Roman" w:cs="Times New Roman"/>
                <w:sz w:val="24"/>
                <w:szCs w:val="24"/>
              </w:rPr>
              <w:t>Pretendents nodrošina vismaz 36 (mēnešu) garantiju Pasūtītāja Transportlīdzekļos uzstādītajam tehniskajam risinājumam</w:t>
            </w:r>
            <w:r w:rsidR="007E3BB4" w:rsidRPr="0009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BB4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>(</w:t>
            </w:r>
            <w:r w:rsidR="00AB3BEE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>uzstādītas iekārtas</w:t>
            </w:r>
            <w:r w:rsidR="00845F39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 xml:space="preserve"> un </w:t>
            </w:r>
            <w:r w:rsidR="00AB3BEE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>programmatūra darbojas uz piegādātajām iekārtām</w:t>
            </w:r>
            <w:r w:rsidR="007E3BB4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>)</w:t>
            </w:r>
            <w:r w:rsidR="0029571E" w:rsidRPr="00096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lv-LV"/>
              </w:rPr>
              <w:t>.</w:t>
            </w:r>
          </w:p>
          <w:p w14:paraId="2BEA798B" w14:textId="0B1F4A03" w:rsidR="008B4D95" w:rsidRPr="00096938" w:rsidDel="009E3FC6" w:rsidRDefault="008B4D95" w:rsidP="00AB03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45A4E8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D44933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5BF" w:rsidRPr="001E1086" w14:paraId="79C58FBA" w14:textId="77777777" w:rsidTr="00971C8D">
        <w:trPr>
          <w:trHeight w:val="1000"/>
        </w:trPr>
        <w:tc>
          <w:tcPr>
            <w:tcW w:w="8788" w:type="dxa"/>
            <w:shd w:val="clear" w:color="auto" w:fill="auto"/>
          </w:tcPr>
          <w:p w14:paraId="2F474041" w14:textId="3B36A0FA" w:rsidR="008E55BF" w:rsidRPr="001E1086" w:rsidRDefault="000E4945" w:rsidP="000E4945">
            <w:pPr>
              <w:pStyle w:val="ListParagraph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Atbalsts jānodrošina visiem tehniskajā specifikācijā minētiem STL veidiem. Tehniskajā specifikācijā minētais saraksts var tikt </w:t>
            </w:r>
            <w:r w:rsidR="00E0667A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aktua</w:t>
            </w:r>
            <w:r w:rsidR="000F5BDE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E0667A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izēts līguma darbības laikā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94794AD" w14:textId="3641DAE4" w:rsidR="008B4D95" w:rsidRPr="001E1086" w:rsidRDefault="008B4D95" w:rsidP="008B4D95">
            <w:pPr>
              <w:pStyle w:val="ListParagraph"/>
              <w:spacing w:before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1F6538" w14:textId="77777777" w:rsidR="008E55BF" w:rsidRPr="001E1086" w:rsidRDefault="008E55BF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7B1446" w14:textId="77777777" w:rsidR="008E55BF" w:rsidRPr="001E1086" w:rsidRDefault="008E55BF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1E1086" w14:paraId="110F257A" w14:textId="77777777" w:rsidTr="00677C49">
        <w:tc>
          <w:tcPr>
            <w:tcW w:w="8788" w:type="dxa"/>
            <w:shd w:val="clear" w:color="auto" w:fill="auto"/>
          </w:tcPr>
          <w:p w14:paraId="0B82BB69" w14:textId="77777777" w:rsidR="00F10976" w:rsidRPr="001E1086" w:rsidRDefault="00F10976" w:rsidP="00663551">
            <w:pPr>
              <w:pStyle w:val="ListParagraph"/>
              <w:numPr>
                <w:ilvl w:val="0"/>
                <w:numId w:val="3"/>
              </w:numPr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nodrošina: </w:t>
            </w:r>
          </w:p>
          <w:p w14:paraId="315C5C39" w14:textId="2B23CA33" w:rsidR="00F10976" w:rsidRPr="001E1086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papildu rezerves daļ</w:t>
            </w:r>
            <w:r w:rsidR="00AB038F" w:rsidRPr="001E108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A63125"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24 (divdesmit četrus</w:t>
            </w:r>
            <w:r w:rsidR="002E24E3" w:rsidRPr="001E1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mēnešus pēc garantijas termiņa beigām;</w:t>
            </w:r>
          </w:p>
          <w:p w14:paraId="3F4ACF93" w14:textId="7B2A42B1" w:rsidR="00F10976" w:rsidRPr="001E1086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vismaz 3 (trīs) rezerves komplektu</w:t>
            </w:r>
            <w:r w:rsidR="00AB038F" w:rsidRPr="001E10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(risinājuma kopums (i</w:t>
            </w:r>
            <w:r w:rsidRPr="001E108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ekārtu, kas nodrošina LCD monitoru darbību un </w:t>
            </w:r>
            <w:proofErr w:type="spellStart"/>
            <w:r w:rsidRPr="001E108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1E108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kabeļus un / vai nostiprināšanas </w:t>
            </w:r>
            <w:proofErr w:type="spellStart"/>
            <w:r w:rsidRPr="001E108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kronšteinus</w:t>
            </w:r>
            <w:proofErr w:type="spellEnd"/>
            <w:r w:rsidRPr="001E108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skrūves) 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un programmatūra) Pasūtītāja noliktavā bez papildu maksas operatīvai risinājuma nomaiņai katram STL veidam;</w:t>
            </w:r>
          </w:p>
          <w:p w14:paraId="2633181F" w14:textId="1F4D7843" w:rsidR="009E3FC6" w:rsidRPr="001E1086" w:rsidRDefault="00F10976" w:rsidP="007E47B3">
            <w:pPr>
              <w:pStyle w:val="ListParagraph"/>
              <w:numPr>
                <w:ilvl w:val="1"/>
                <w:numId w:val="3"/>
              </w:numPr>
              <w:spacing w:after="120"/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programmatūr</w:t>
            </w:r>
            <w:r w:rsidR="00AB038F" w:rsidRPr="001E108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iekārtu parametru automātiskai konfigurēšanai.</w:t>
            </w:r>
          </w:p>
          <w:p w14:paraId="075D8A66" w14:textId="713BBF4F" w:rsidR="001B5268" w:rsidRPr="001E1086" w:rsidDel="009E3FC6" w:rsidRDefault="001B5268" w:rsidP="001B5268">
            <w:pPr>
              <w:pStyle w:val="ListParagraph"/>
              <w:spacing w:after="120"/>
              <w:ind w:left="74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A93299F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AB085F0" w14:textId="77777777" w:rsidR="009E3FC6" w:rsidRPr="001E1086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:rsidRPr="001E1086" w14:paraId="40FE0202" w14:textId="77777777" w:rsidTr="00677C49">
        <w:tc>
          <w:tcPr>
            <w:tcW w:w="8788" w:type="dxa"/>
            <w:shd w:val="clear" w:color="auto" w:fill="auto"/>
          </w:tcPr>
          <w:p w14:paraId="238F867F" w14:textId="7E2E942D" w:rsidR="00F10976" w:rsidRPr="001E1086" w:rsidRDefault="00F10976" w:rsidP="005E112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vismaz 4 (četru) Pasūtītāja darbinieku apmācības klātienē par Transportlīdzekļos uzstādītā tehniskā risinājuma (t.sk. iekārtu) nomaiņu, 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programmēšanu (t.sk. programmatūras atjaunošanu darbam pēc remontdarbu veikšanas) un citiem ar tā uzturēšanu saistītiem jautājumiem</w:t>
            </w:r>
            <w:r w:rsidR="00D67F0B" w:rsidRPr="001E1086">
              <w:rPr>
                <w:rFonts w:ascii="Times New Roman" w:hAnsi="Times New Roman" w:cs="Times New Roman"/>
                <w:sz w:val="24"/>
                <w:szCs w:val="24"/>
              </w:rPr>
              <w:t xml:space="preserve"> (t.sk. apkopi, ja to nosaka ražotājs)</w:t>
            </w: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. Katra Pasūtītāja darbinieka apmācības ilgums – vismaz 4 (četras) stundas.</w:t>
            </w:r>
          </w:p>
          <w:p w14:paraId="135570A5" w14:textId="7F0DC228" w:rsidR="001B5268" w:rsidRPr="001E1086" w:rsidRDefault="001B5268" w:rsidP="001B5268">
            <w:pPr>
              <w:pStyle w:val="ListParagraph"/>
              <w:shd w:val="clear" w:color="auto" w:fill="FFFFFF" w:themeFill="background1"/>
              <w:spacing w:before="120" w:after="120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CF146D" w14:textId="77777777" w:rsidR="00F10976" w:rsidRPr="001E1086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64F7310" w14:textId="77777777" w:rsidR="00F10976" w:rsidRPr="001E1086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:rsidRPr="001E1086" w14:paraId="40449F3A" w14:textId="77777777" w:rsidTr="00677C49">
        <w:tc>
          <w:tcPr>
            <w:tcW w:w="8788" w:type="dxa"/>
            <w:shd w:val="clear" w:color="auto" w:fill="auto"/>
          </w:tcPr>
          <w:p w14:paraId="2305939B" w14:textId="77777777" w:rsidR="00F10976" w:rsidRPr="001E1086" w:rsidRDefault="00F10976" w:rsidP="00663551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Minimālais tehniskā atbalsta līmenis piedāvātajam servisam:</w:t>
            </w:r>
          </w:p>
          <w:p w14:paraId="27FC74B5" w14:textId="04F2E523" w:rsidR="00F10976" w:rsidRPr="001E1086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Garantijas servisā ietilpst tehniskajā specifikācijā minētā</w:t>
            </w:r>
            <w:r w:rsidR="0017039C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risinājuma 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darbības problēmu novēršanai nepieciešamais darbs, materiāli un garantijas detaļas atbilstoši garantijas nosacījumiem un programmatūras atjauninājumi atbilstoši ražotāja nosacījumiem;</w:t>
            </w:r>
          </w:p>
          <w:p w14:paraId="1B15FD9A" w14:textId="714B4F9C" w:rsidR="00F10976" w:rsidRPr="001E1086" w:rsidRDefault="00F10976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jānodrošina atbalsts darba dienās no </w:t>
            </w:r>
            <w:r w:rsidR="006D62DD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plkst. </w:t>
            </w:r>
            <w:r w:rsidR="007577D7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08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="007577D7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 līdz 16:</w:t>
            </w:r>
            <w:r w:rsidR="007577D7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0;</w:t>
            </w:r>
          </w:p>
          <w:p w14:paraId="35AEB91D" w14:textId="554BB76F" w:rsidR="00F10976" w:rsidRPr="001E1086" w:rsidRDefault="00F10976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Reakcijas laiks uz problēmas pieteikumu - ne vēlāk kā nākamajā darba dienā no </w:t>
            </w:r>
            <w:r w:rsidR="00AF6B5C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plkst. 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08:00 līdz 1</w:t>
            </w:r>
            <w:r w:rsidR="007577D7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:00;</w:t>
            </w:r>
          </w:p>
          <w:p w14:paraId="0B0061E8" w14:textId="5BD85B82" w:rsidR="00F10976" w:rsidRPr="001E1086" w:rsidRDefault="00F10976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Ja pasūtītājs problēmu nevar novērst saviem spēkiem tiek nodrošināta tehniskā speciālista </w:t>
            </w:r>
            <w:r w:rsidR="00C020B0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pieejamība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ne vēlāk kā nākamajā darba dienā no </w:t>
            </w:r>
            <w:r w:rsidR="006D62DD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plkst. 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08:00 līdz 1</w:t>
            </w:r>
            <w:r w:rsidR="0097595C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:00 vai vienojoties ar pasūtītāju par citu laiku vai iekārtas piegādes veidu, izpildītājam.</w:t>
            </w:r>
          </w:p>
          <w:p w14:paraId="28B8C8FD" w14:textId="6703B5DF" w:rsidR="00F10976" w:rsidRPr="001E1086" w:rsidRDefault="00F10976" w:rsidP="00981B06">
            <w:pPr>
              <w:pStyle w:val="ListParagraph"/>
              <w:numPr>
                <w:ilvl w:val="2"/>
                <w:numId w:val="3"/>
              </w:numPr>
              <w:ind w:left="1315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Pretendentam jānodrošina pieteikumu, problēmu un bojājumu centralizēta apstrāde, attiecībā uz Līguma darbības laikā sniegtiem pakalpojumiem, darba dienas darba laika ietvarā (laikā no plkst.</w:t>
            </w:r>
            <w:r w:rsidR="0087159D"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577D7"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BA5696"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8:00</w:t>
            </w: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16:</w:t>
            </w:r>
            <w:r w:rsidR="00BA5696"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šādos kanālos:</w:t>
            </w:r>
          </w:p>
          <w:p w14:paraId="5403653B" w14:textId="41CF7E7B" w:rsidR="00F10976" w:rsidRPr="001E1086" w:rsidRDefault="00F10976" w:rsidP="00981B06">
            <w:pPr>
              <w:pStyle w:val="ListParagraph"/>
              <w:numPr>
                <w:ilvl w:val="0"/>
                <w:numId w:val="13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zvaniem uz norādītu kontakttālruni vai elektronisku vēstuļu sūtījumiem uz norādītu e-pasta adresi:</w:t>
            </w:r>
          </w:p>
          <w:p w14:paraId="214F61AD" w14:textId="14854DDC" w:rsidR="00F10976" w:rsidRPr="001E1086" w:rsidRDefault="00F10976" w:rsidP="00981B06">
            <w:pPr>
              <w:pStyle w:val="ListParagraph"/>
              <w:numPr>
                <w:ilvl w:val="0"/>
                <w:numId w:val="20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pieteikuma saņemšanas brīdī jāreģistrē Pretendenta Pieteikumu sistēmā tā pieteikšanas laiks un jāsniedz reģistrācijas apstiprinājums, nosūtot atbildes e-pasta paziņojumu;</w:t>
            </w:r>
          </w:p>
          <w:p w14:paraId="09E2BCFE" w14:textId="77777777" w:rsidR="00F10976" w:rsidRPr="001E1086" w:rsidRDefault="00F10976" w:rsidP="00981B06">
            <w:pPr>
              <w:pStyle w:val="ListParagraph"/>
              <w:numPr>
                <w:ilvl w:val="0"/>
                <w:numId w:val="20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 nodrošina Pasūtītājam piekļuvi Pretendenta Pieteikumu sistēmā reģistrētajiem Pasūtītāja pieteikumiem.</w:t>
            </w:r>
          </w:p>
          <w:p w14:paraId="583C52C8" w14:textId="62658FC2" w:rsidR="001B5268" w:rsidRPr="001E1086" w:rsidRDefault="001B5268" w:rsidP="001B5268">
            <w:pPr>
              <w:pStyle w:val="ListParagraph"/>
              <w:ind w:left="1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D40B2AD" w14:textId="77777777" w:rsidR="00F10976" w:rsidRPr="001E1086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6135F87" w14:textId="77777777" w:rsidR="00F10976" w:rsidRPr="001E1086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14:paraId="4C28EA3E" w14:textId="77777777" w:rsidTr="00677C49">
        <w:tc>
          <w:tcPr>
            <w:tcW w:w="8788" w:type="dxa"/>
            <w:shd w:val="clear" w:color="auto" w:fill="auto"/>
          </w:tcPr>
          <w:p w14:paraId="2D4A6655" w14:textId="34C708EF" w:rsidR="002C4E50" w:rsidRPr="001E1086" w:rsidRDefault="001B5268" w:rsidP="000D61E1">
            <w:pPr>
              <w:pStyle w:val="ListParagraph"/>
              <w:numPr>
                <w:ilvl w:val="0"/>
                <w:numId w:val="3"/>
              </w:numPr>
              <w:spacing w:before="12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="00F66EF2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NOSACĪJUMI, PRIEKŠLIKUMI UN IEROSINĀJUMI, ko nepieciešams ņemt vērā kval</w:t>
            </w:r>
            <w:r w:rsidR="002C4E50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F66EF2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tatīva iepirkuma </w:t>
            </w:r>
            <w:r w:rsidR="002C4E50" w:rsidRPr="001E108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sagatavošanai un īstenošanai.</w:t>
            </w:r>
          </w:p>
        </w:tc>
        <w:tc>
          <w:tcPr>
            <w:tcW w:w="2977" w:type="dxa"/>
            <w:shd w:val="clear" w:color="auto" w:fill="auto"/>
          </w:tcPr>
          <w:p w14:paraId="1A449BE1" w14:textId="77777777" w:rsidR="00F10976" w:rsidRPr="00B37894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51CC7C6" w14:textId="77777777" w:rsidR="00F10976" w:rsidRPr="00B37894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36861C81" w14:textId="77777777" w:rsidR="005517B3" w:rsidRPr="00303E10" w:rsidRDefault="005517B3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17B3" w:rsidRPr="00303E10" w:rsidSect="00406782">
      <w:pgSz w:w="16838" w:h="11906" w:orient="landscape"/>
      <w:pgMar w:top="1134" w:right="709" w:bottom="99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48"/>
    <w:multiLevelType w:val="multilevel"/>
    <w:tmpl w:val="E3F6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15AF024D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1C1131"/>
    <w:multiLevelType w:val="hybridMultilevel"/>
    <w:tmpl w:val="91D8B0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DB0"/>
    <w:multiLevelType w:val="multilevel"/>
    <w:tmpl w:val="35ECE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4" w15:restartNumberingAfterBreak="0">
    <w:nsid w:val="1FEC63DB"/>
    <w:multiLevelType w:val="hybridMultilevel"/>
    <w:tmpl w:val="D1320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A75"/>
    <w:multiLevelType w:val="multilevel"/>
    <w:tmpl w:val="7C1472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4A86F87"/>
    <w:multiLevelType w:val="hybridMultilevel"/>
    <w:tmpl w:val="D0805F5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5412E9"/>
    <w:multiLevelType w:val="hybridMultilevel"/>
    <w:tmpl w:val="30E4E844"/>
    <w:lvl w:ilvl="0" w:tplc="405452E6">
      <w:start w:val="1"/>
      <w:numFmt w:val="decimal"/>
      <w:lvlText w:val="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9FF4B01"/>
    <w:multiLevelType w:val="multilevel"/>
    <w:tmpl w:val="586E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17D7B"/>
    <w:multiLevelType w:val="multilevel"/>
    <w:tmpl w:val="34CE2B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356CA3"/>
    <w:multiLevelType w:val="hybridMultilevel"/>
    <w:tmpl w:val="C03C3F0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B6CC7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50B74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EA46E4"/>
    <w:multiLevelType w:val="hybridMultilevel"/>
    <w:tmpl w:val="5DBE95C4"/>
    <w:lvl w:ilvl="0" w:tplc="F5D4676E">
      <w:start w:val="19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E0B495A"/>
    <w:multiLevelType w:val="hybridMultilevel"/>
    <w:tmpl w:val="1D9433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43F12"/>
    <w:multiLevelType w:val="hybridMultilevel"/>
    <w:tmpl w:val="798EDDFE"/>
    <w:lvl w:ilvl="0" w:tplc="4A8C37F0">
      <w:start w:val="2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54B15"/>
    <w:multiLevelType w:val="hybridMultilevel"/>
    <w:tmpl w:val="A09864C2"/>
    <w:lvl w:ilvl="0" w:tplc="266AF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870B69"/>
    <w:multiLevelType w:val="hybridMultilevel"/>
    <w:tmpl w:val="7BAE55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50D84"/>
    <w:multiLevelType w:val="multilevel"/>
    <w:tmpl w:val="F0C2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9" w15:restartNumberingAfterBreak="0">
    <w:nsid w:val="63FD2650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6234BF"/>
    <w:multiLevelType w:val="hybridMultilevel"/>
    <w:tmpl w:val="34B0C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75547">
    <w:abstractNumId w:val="6"/>
  </w:num>
  <w:num w:numId="2" w16cid:durableId="608778030">
    <w:abstractNumId w:val="16"/>
  </w:num>
  <w:num w:numId="3" w16cid:durableId="999579074">
    <w:abstractNumId w:val="18"/>
  </w:num>
  <w:num w:numId="4" w16cid:durableId="1457063304">
    <w:abstractNumId w:val="13"/>
  </w:num>
  <w:num w:numId="5" w16cid:durableId="1776830804">
    <w:abstractNumId w:val="9"/>
  </w:num>
  <w:num w:numId="6" w16cid:durableId="515996696">
    <w:abstractNumId w:val="0"/>
  </w:num>
  <w:num w:numId="7" w16cid:durableId="40060740">
    <w:abstractNumId w:val="5"/>
  </w:num>
  <w:num w:numId="8" w16cid:durableId="1165583747">
    <w:abstractNumId w:val="3"/>
  </w:num>
  <w:num w:numId="9" w16cid:durableId="254365130">
    <w:abstractNumId w:val="2"/>
  </w:num>
  <w:num w:numId="10" w16cid:durableId="295567776">
    <w:abstractNumId w:val="4"/>
  </w:num>
  <w:num w:numId="11" w16cid:durableId="716782126">
    <w:abstractNumId w:val="15"/>
  </w:num>
  <w:num w:numId="12" w16cid:durableId="750322180">
    <w:abstractNumId w:val="8"/>
  </w:num>
  <w:num w:numId="13" w16cid:durableId="656421801">
    <w:abstractNumId w:val="7"/>
  </w:num>
  <w:num w:numId="14" w16cid:durableId="256138244">
    <w:abstractNumId w:val="19"/>
  </w:num>
  <w:num w:numId="15" w16cid:durableId="1801875758">
    <w:abstractNumId w:val="1"/>
  </w:num>
  <w:num w:numId="16" w16cid:durableId="1653368158">
    <w:abstractNumId w:val="11"/>
  </w:num>
  <w:num w:numId="17" w16cid:durableId="505176721">
    <w:abstractNumId w:val="12"/>
  </w:num>
  <w:num w:numId="18" w16cid:durableId="1457219437">
    <w:abstractNumId w:val="14"/>
  </w:num>
  <w:num w:numId="19" w16cid:durableId="639112263">
    <w:abstractNumId w:val="20"/>
  </w:num>
  <w:num w:numId="20" w16cid:durableId="525405282">
    <w:abstractNumId w:val="17"/>
  </w:num>
  <w:num w:numId="21" w16cid:durableId="1534537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9"/>
    <w:rsid w:val="00005009"/>
    <w:rsid w:val="00012062"/>
    <w:rsid w:val="00014C5D"/>
    <w:rsid w:val="00017796"/>
    <w:rsid w:val="0002334D"/>
    <w:rsid w:val="00024A07"/>
    <w:rsid w:val="00025F34"/>
    <w:rsid w:val="0002708B"/>
    <w:rsid w:val="00031453"/>
    <w:rsid w:val="00042745"/>
    <w:rsid w:val="000456AF"/>
    <w:rsid w:val="00067C64"/>
    <w:rsid w:val="000714D1"/>
    <w:rsid w:val="00072951"/>
    <w:rsid w:val="00077048"/>
    <w:rsid w:val="00077C61"/>
    <w:rsid w:val="00082FC7"/>
    <w:rsid w:val="00083871"/>
    <w:rsid w:val="00094E44"/>
    <w:rsid w:val="00096938"/>
    <w:rsid w:val="000A46A8"/>
    <w:rsid w:val="000A66C7"/>
    <w:rsid w:val="000A6911"/>
    <w:rsid w:val="000B19AA"/>
    <w:rsid w:val="000B6F2E"/>
    <w:rsid w:val="000C5AD0"/>
    <w:rsid w:val="000D61E1"/>
    <w:rsid w:val="000E24C6"/>
    <w:rsid w:val="000E4945"/>
    <w:rsid w:val="000E60D0"/>
    <w:rsid w:val="000E7F57"/>
    <w:rsid w:val="000F19BC"/>
    <w:rsid w:val="000F5BDE"/>
    <w:rsid w:val="000F76F5"/>
    <w:rsid w:val="00101DA1"/>
    <w:rsid w:val="001056EC"/>
    <w:rsid w:val="001132D1"/>
    <w:rsid w:val="001214B1"/>
    <w:rsid w:val="00123FC5"/>
    <w:rsid w:val="00133191"/>
    <w:rsid w:val="00140E17"/>
    <w:rsid w:val="001438FE"/>
    <w:rsid w:val="00144D97"/>
    <w:rsid w:val="00146881"/>
    <w:rsid w:val="00147697"/>
    <w:rsid w:val="00150A3E"/>
    <w:rsid w:val="001553F9"/>
    <w:rsid w:val="001555E4"/>
    <w:rsid w:val="00161DD4"/>
    <w:rsid w:val="00170232"/>
    <w:rsid w:val="0017039C"/>
    <w:rsid w:val="00180469"/>
    <w:rsid w:val="00187E92"/>
    <w:rsid w:val="00190EEE"/>
    <w:rsid w:val="001952B3"/>
    <w:rsid w:val="00195589"/>
    <w:rsid w:val="001A1E07"/>
    <w:rsid w:val="001A59AC"/>
    <w:rsid w:val="001B4F52"/>
    <w:rsid w:val="001B5268"/>
    <w:rsid w:val="001C293E"/>
    <w:rsid w:val="001D7D11"/>
    <w:rsid w:val="001E0E81"/>
    <w:rsid w:val="001E1086"/>
    <w:rsid w:val="001F2800"/>
    <w:rsid w:val="001F5C23"/>
    <w:rsid w:val="00224933"/>
    <w:rsid w:val="00231578"/>
    <w:rsid w:val="0023364F"/>
    <w:rsid w:val="00233FD9"/>
    <w:rsid w:val="00235615"/>
    <w:rsid w:val="00242050"/>
    <w:rsid w:val="00242658"/>
    <w:rsid w:val="00244440"/>
    <w:rsid w:val="00251288"/>
    <w:rsid w:val="0025465E"/>
    <w:rsid w:val="00257558"/>
    <w:rsid w:val="00257792"/>
    <w:rsid w:val="0027089A"/>
    <w:rsid w:val="00273761"/>
    <w:rsid w:val="0027477D"/>
    <w:rsid w:val="002766C0"/>
    <w:rsid w:val="00283DBA"/>
    <w:rsid w:val="0029571E"/>
    <w:rsid w:val="002A465D"/>
    <w:rsid w:val="002A64AC"/>
    <w:rsid w:val="002C3A89"/>
    <w:rsid w:val="002C4E50"/>
    <w:rsid w:val="002E24E3"/>
    <w:rsid w:val="002E6166"/>
    <w:rsid w:val="003002B8"/>
    <w:rsid w:val="00301499"/>
    <w:rsid w:val="00303DD8"/>
    <w:rsid w:val="00303E10"/>
    <w:rsid w:val="00320C1D"/>
    <w:rsid w:val="00326C8D"/>
    <w:rsid w:val="00326FD4"/>
    <w:rsid w:val="00337B6F"/>
    <w:rsid w:val="003439C2"/>
    <w:rsid w:val="0035161B"/>
    <w:rsid w:val="003549AE"/>
    <w:rsid w:val="00356861"/>
    <w:rsid w:val="003641CA"/>
    <w:rsid w:val="003658DF"/>
    <w:rsid w:val="003777A4"/>
    <w:rsid w:val="0038655F"/>
    <w:rsid w:val="003A1F48"/>
    <w:rsid w:val="003B6339"/>
    <w:rsid w:val="003B7C28"/>
    <w:rsid w:val="003D72DE"/>
    <w:rsid w:val="003E549C"/>
    <w:rsid w:val="00406782"/>
    <w:rsid w:val="00413959"/>
    <w:rsid w:val="00421A88"/>
    <w:rsid w:val="004239C4"/>
    <w:rsid w:val="004341FC"/>
    <w:rsid w:val="004412ED"/>
    <w:rsid w:val="00446C09"/>
    <w:rsid w:val="00455876"/>
    <w:rsid w:val="00457E32"/>
    <w:rsid w:val="0046792E"/>
    <w:rsid w:val="004709F0"/>
    <w:rsid w:val="00470F22"/>
    <w:rsid w:val="00472894"/>
    <w:rsid w:val="004942A9"/>
    <w:rsid w:val="004A30F9"/>
    <w:rsid w:val="004A3C51"/>
    <w:rsid w:val="004A454D"/>
    <w:rsid w:val="004B37C1"/>
    <w:rsid w:val="004B4E82"/>
    <w:rsid w:val="004B5F44"/>
    <w:rsid w:val="004C6BC4"/>
    <w:rsid w:val="004C74C1"/>
    <w:rsid w:val="004D5CAB"/>
    <w:rsid w:val="004D5DC0"/>
    <w:rsid w:val="004E3A12"/>
    <w:rsid w:val="004E66AC"/>
    <w:rsid w:val="004F5F28"/>
    <w:rsid w:val="00514A1C"/>
    <w:rsid w:val="0052208F"/>
    <w:rsid w:val="00522D4F"/>
    <w:rsid w:val="0053025C"/>
    <w:rsid w:val="005341B6"/>
    <w:rsid w:val="00535A08"/>
    <w:rsid w:val="00547D31"/>
    <w:rsid w:val="005517B3"/>
    <w:rsid w:val="005A62C7"/>
    <w:rsid w:val="005B28C7"/>
    <w:rsid w:val="005B6078"/>
    <w:rsid w:val="005C5EA3"/>
    <w:rsid w:val="005C7D11"/>
    <w:rsid w:val="005D3B3D"/>
    <w:rsid w:val="005E1121"/>
    <w:rsid w:val="005E6EE3"/>
    <w:rsid w:val="006035B0"/>
    <w:rsid w:val="006104BB"/>
    <w:rsid w:val="006231BF"/>
    <w:rsid w:val="00624EBC"/>
    <w:rsid w:val="00626E40"/>
    <w:rsid w:val="00636F4B"/>
    <w:rsid w:val="006403EB"/>
    <w:rsid w:val="00640E45"/>
    <w:rsid w:val="00646087"/>
    <w:rsid w:val="006511DD"/>
    <w:rsid w:val="00663551"/>
    <w:rsid w:val="00665105"/>
    <w:rsid w:val="00675019"/>
    <w:rsid w:val="00675247"/>
    <w:rsid w:val="006774E2"/>
    <w:rsid w:val="00677C49"/>
    <w:rsid w:val="0068276A"/>
    <w:rsid w:val="0068573F"/>
    <w:rsid w:val="00690839"/>
    <w:rsid w:val="006946EF"/>
    <w:rsid w:val="00697A72"/>
    <w:rsid w:val="006A09BF"/>
    <w:rsid w:val="006B63B7"/>
    <w:rsid w:val="006C5BF4"/>
    <w:rsid w:val="006D2483"/>
    <w:rsid w:val="006D4421"/>
    <w:rsid w:val="006D62DD"/>
    <w:rsid w:val="006E6A0B"/>
    <w:rsid w:val="006F07D2"/>
    <w:rsid w:val="0072781F"/>
    <w:rsid w:val="0074555E"/>
    <w:rsid w:val="007577D7"/>
    <w:rsid w:val="007615D6"/>
    <w:rsid w:val="007628A3"/>
    <w:rsid w:val="00762FAE"/>
    <w:rsid w:val="00771EDE"/>
    <w:rsid w:val="00772592"/>
    <w:rsid w:val="0078138A"/>
    <w:rsid w:val="007A0DAE"/>
    <w:rsid w:val="007A18F0"/>
    <w:rsid w:val="007A3357"/>
    <w:rsid w:val="007B0396"/>
    <w:rsid w:val="007B1EBC"/>
    <w:rsid w:val="007C0014"/>
    <w:rsid w:val="007D2466"/>
    <w:rsid w:val="007E3BB4"/>
    <w:rsid w:val="007E47B3"/>
    <w:rsid w:val="007F3578"/>
    <w:rsid w:val="007F56F5"/>
    <w:rsid w:val="007F5F9F"/>
    <w:rsid w:val="00824978"/>
    <w:rsid w:val="00832588"/>
    <w:rsid w:val="00833326"/>
    <w:rsid w:val="00836CBF"/>
    <w:rsid w:val="0084138A"/>
    <w:rsid w:val="00844D95"/>
    <w:rsid w:val="00845F39"/>
    <w:rsid w:val="00865359"/>
    <w:rsid w:val="00865C6D"/>
    <w:rsid w:val="0087159D"/>
    <w:rsid w:val="008748ED"/>
    <w:rsid w:val="008764FF"/>
    <w:rsid w:val="008767D4"/>
    <w:rsid w:val="00877FD9"/>
    <w:rsid w:val="008860BE"/>
    <w:rsid w:val="00890011"/>
    <w:rsid w:val="00893BF7"/>
    <w:rsid w:val="008B4D95"/>
    <w:rsid w:val="008C5190"/>
    <w:rsid w:val="008C5896"/>
    <w:rsid w:val="008E08DE"/>
    <w:rsid w:val="008E0A37"/>
    <w:rsid w:val="008E55BF"/>
    <w:rsid w:val="008F4557"/>
    <w:rsid w:val="008F75CD"/>
    <w:rsid w:val="00904F3F"/>
    <w:rsid w:val="00907740"/>
    <w:rsid w:val="00911EF8"/>
    <w:rsid w:val="009211BD"/>
    <w:rsid w:val="00922551"/>
    <w:rsid w:val="0093402B"/>
    <w:rsid w:val="009430D8"/>
    <w:rsid w:val="00947A16"/>
    <w:rsid w:val="009560BB"/>
    <w:rsid w:val="00971C8D"/>
    <w:rsid w:val="0097595C"/>
    <w:rsid w:val="00981B06"/>
    <w:rsid w:val="009858F3"/>
    <w:rsid w:val="009968EC"/>
    <w:rsid w:val="009A0282"/>
    <w:rsid w:val="009A682F"/>
    <w:rsid w:val="009C0C94"/>
    <w:rsid w:val="009D7A9C"/>
    <w:rsid w:val="009E09F6"/>
    <w:rsid w:val="009E3A04"/>
    <w:rsid w:val="009E3FC6"/>
    <w:rsid w:val="00A014F5"/>
    <w:rsid w:val="00A16D45"/>
    <w:rsid w:val="00A16D7D"/>
    <w:rsid w:val="00A235D3"/>
    <w:rsid w:val="00A316D1"/>
    <w:rsid w:val="00A46627"/>
    <w:rsid w:val="00A500A5"/>
    <w:rsid w:val="00A63125"/>
    <w:rsid w:val="00A64E34"/>
    <w:rsid w:val="00A65B10"/>
    <w:rsid w:val="00A7186E"/>
    <w:rsid w:val="00A7203A"/>
    <w:rsid w:val="00A7458B"/>
    <w:rsid w:val="00A946E0"/>
    <w:rsid w:val="00AA7ABC"/>
    <w:rsid w:val="00AB038F"/>
    <w:rsid w:val="00AB3BEE"/>
    <w:rsid w:val="00AC1863"/>
    <w:rsid w:val="00AC3AEF"/>
    <w:rsid w:val="00AC594F"/>
    <w:rsid w:val="00AC5C51"/>
    <w:rsid w:val="00AC788F"/>
    <w:rsid w:val="00AD68F9"/>
    <w:rsid w:val="00AE0997"/>
    <w:rsid w:val="00AE6ADC"/>
    <w:rsid w:val="00AF3386"/>
    <w:rsid w:val="00AF6B5C"/>
    <w:rsid w:val="00B01F38"/>
    <w:rsid w:val="00B10570"/>
    <w:rsid w:val="00B16F64"/>
    <w:rsid w:val="00B1716C"/>
    <w:rsid w:val="00B31E79"/>
    <w:rsid w:val="00B3558B"/>
    <w:rsid w:val="00B37894"/>
    <w:rsid w:val="00B40B06"/>
    <w:rsid w:val="00B443DF"/>
    <w:rsid w:val="00B454A1"/>
    <w:rsid w:val="00B55D07"/>
    <w:rsid w:val="00B5729E"/>
    <w:rsid w:val="00B61446"/>
    <w:rsid w:val="00B614C0"/>
    <w:rsid w:val="00B72A78"/>
    <w:rsid w:val="00B75FE1"/>
    <w:rsid w:val="00BA5696"/>
    <w:rsid w:val="00BB00C7"/>
    <w:rsid w:val="00BE4578"/>
    <w:rsid w:val="00BF2B9A"/>
    <w:rsid w:val="00BF7B17"/>
    <w:rsid w:val="00C020B0"/>
    <w:rsid w:val="00C035E1"/>
    <w:rsid w:val="00C04440"/>
    <w:rsid w:val="00C0454F"/>
    <w:rsid w:val="00C20D9D"/>
    <w:rsid w:val="00C20E29"/>
    <w:rsid w:val="00C410FE"/>
    <w:rsid w:val="00C42B36"/>
    <w:rsid w:val="00C455F9"/>
    <w:rsid w:val="00C563A7"/>
    <w:rsid w:val="00C57C1C"/>
    <w:rsid w:val="00C62C1F"/>
    <w:rsid w:val="00C652F7"/>
    <w:rsid w:val="00C730A1"/>
    <w:rsid w:val="00C73DCC"/>
    <w:rsid w:val="00C802BB"/>
    <w:rsid w:val="00C8113B"/>
    <w:rsid w:val="00C90629"/>
    <w:rsid w:val="00C971EB"/>
    <w:rsid w:val="00CA188E"/>
    <w:rsid w:val="00CA5326"/>
    <w:rsid w:val="00CA5820"/>
    <w:rsid w:val="00CB67B9"/>
    <w:rsid w:val="00CC09AF"/>
    <w:rsid w:val="00CC2899"/>
    <w:rsid w:val="00CF3A15"/>
    <w:rsid w:val="00D03D90"/>
    <w:rsid w:val="00D12320"/>
    <w:rsid w:val="00D1695D"/>
    <w:rsid w:val="00D43666"/>
    <w:rsid w:val="00D52C7F"/>
    <w:rsid w:val="00D663D7"/>
    <w:rsid w:val="00D67F0B"/>
    <w:rsid w:val="00D70C68"/>
    <w:rsid w:val="00D74C7E"/>
    <w:rsid w:val="00D75849"/>
    <w:rsid w:val="00D848AD"/>
    <w:rsid w:val="00D84C7F"/>
    <w:rsid w:val="00D95713"/>
    <w:rsid w:val="00D97A54"/>
    <w:rsid w:val="00DB2732"/>
    <w:rsid w:val="00DB51EE"/>
    <w:rsid w:val="00DD3E0B"/>
    <w:rsid w:val="00E0667A"/>
    <w:rsid w:val="00E07096"/>
    <w:rsid w:val="00E32FF7"/>
    <w:rsid w:val="00E53372"/>
    <w:rsid w:val="00E533D1"/>
    <w:rsid w:val="00E61366"/>
    <w:rsid w:val="00E70F5D"/>
    <w:rsid w:val="00E86C33"/>
    <w:rsid w:val="00E908AA"/>
    <w:rsid w:val="00EA24BB"/>
    <w:rsid w:val="00EA7A11"/>
    <w:rsid w:val="00EB5F74"/>
    <w:rsid w:val="00EC142A"/>
    <w:rsid w:val="00EC5FF0"/>
    <w:rsid w:val="00EE5C81"/>
    <w:rsid w:val="00EF08B3"/>
    <w:rsid w:val="00EF114A"/>
    <w:rsid w:val="00F071C3"/>
    <w:rsid w:val="00F10976"/>
    <w:rsid w:val="00F13898"/>
    <w:rsid w:val="00F4208A"/>
    <w:rsid w:val="00F4276C"/>
    <w:rsid w:val="00F43D57"/>
    <w:rsid w:val="00F45321"/>
    <w:rsid w:val="00F475C8"/>
    <w:rsid w:val="00F513E7"/>
    <w:rsid w:val="00F53F6F"/>
    <w:rsid w:val="00F66E44"/>
    <w:rsid w:val="00F66EF2"/>
    <w:rsid w:val="00F76F0A"/>
    <w:rsid w:val="00F83EC9"/>
    <w:rsid w:val="00F8531A"/>
    <w:rsid w:val="00F85365"/>
    <w:rsid w:val="00F911B4"/>
    <w:rsid w:val="00F91779"/>
    <w:rsid w:val="00F94517"/>
    <w:rsid w:val="00F96BCB"/>
    <w:rsid w:val="00FB022D"/>
    <w:rsid w:val="00FB5C81"/>
    <w:rsid w:val="00FD0908"/>
    <w:rsid w:val="00FE4B31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39E81"/>
  <w15:chartTrackingRefBased/>
  <w15:docId w15:val="{19F021EF-14FC-4310-9287-00CB685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849"/>
    <w:rPr>
      <w:color w:val="0000FF"/>
      <w:u w:val="single"/>
    </w:rPr>
  </w:style>
  <w:style w:type="paragraph" w:styleId="NoSpacing">
    <w:name w:val="No Spacing"/>
    <w:uiPriority w:val="1"/>
    <w:qFormat/>
    <w:rsid w:val="00D7584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lock">
    <w:name w:val="block"/>
    <w:basedOn w:val="DefaultParagraphFont"/>
    <w:rsid w:val="00D75849"/>
  </w:style>
  <w:style w:type="paragraph" w:styleId="ListParagraph">
    <w:name w:val="List Paragraph"/>
    <w:basedOn w:val="Normal"/>
    <w:uiPriority w:val="34"/>
    <w:qFormat/>
    <w:rsid w:val="00CA5820"/>
    <w:pPr>
      <w:ind w:left="720"/>
      <w:contextualSpacing/>
    </w:pPr>
  </w:style>
  <w:style w:type="paragraph" w:styleId="Revision">
    <w:name w:val="Revision"/>
    <w:hidden/>
    <w:uiPriority w:val="99"/>
    <w:semiHidden/>
    <w:rsid w:val="000F76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02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7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4E2"/>
    <w:rPr>
      <w:b/>
      <w:bCs/>
      <w:sz w:val="20"/>
      <w:szCs w:val="20"/>
    </w:rPr>
  </w:style>
  <w:style w:type="paragraph" w:styleId="BodyText">
    <w:name w:val="Body Text"/>
    <w:aliases w:val="Body Text1,b,uvlaka 3,plain,plain Char,b1,uvlaka 31"/>
    <w:basedOn w:val="Normal"/>
    <w:link w:val="BodyTextChar"/>
    <w:rsid w:val="006F0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aliases w:val="Body Text1 Char,b Char,uvlaka 3 Char,plain Char1,plain Char Char,b1 Char,uvlaka 31 Char"/>
    <w:basedOn w:val="DefaultParagraphFont"/>
    <w:link w:val="BodyText"/>
    <w:rsid w:val="006F07D2"/>
    <w:rPr>
      <w:rFonts w:ascii="Times New Roman" w:eastAsia="Times New Roman" w:hAnsi="Times New Roman" w:cs="Times New Roman"/>
      <w:sz w:val="28"/>
    </w:rPr>
  </w:style>
  <w:style w:type="paragraph" w:styleId="Header">
    <w:name w:val="header"/>
    <w:aliases w:val="Char, Char"/>
    <w:basedOn w:val="Normal"/>
    <w:link w:val="HeaderChar1"/>
    <w:uiPriority w:val="99"/>
    <w:rsid w:val="009A68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9A682F"/>
  </w:style>
  <w:style w:type="character" w:customStyle="1" w:styleId="HeaderChar1">
    <w:name w:val="Header Char1"/>
    <w:aliases w:val="Char Char, Char Char"/>
    <w:basedOn w:val="DefaultParagraphFont"/>
    <w:link w:val="Header"/>
    <w:uiPriority w:val="99"/>
    <w:qFormat/>
    <w:rsid w:val="009A682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uiPriority w:val="99"/>
    <w:rsid w:val="004D5CAB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4D5CAB"/>
    <w:pPr>
      <w:widowControl w:val="0"/>
      <w:autoSpaceDE w:val="0"/>
      <w:autoSpaceDN w:val="0"/>
    </w:pPr>
    <w:rPr>
      <w:rFonts w:ascii="Times New Roman" w:eastAsiaTheme="minorHAnsi" w:hAnsi="Times New Roman" w:cstheme="minorBidi"/>
      <w:noProof/>
      <w:color w:val="FF0000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4D5CAB"/>
    <w:rPr>
      <w:rFonts w:ascii="Times New Roman" w:hAnsi="Times New Roman"/>
      <w:noProof/>
      <w:color w:val="FF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D5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8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04F3F"/>
  </w:style>
  <w:style w:type="character" w:customStyle="1" w:styleId="cf01">
    <w:name w:val="cf01"/>
    <w:basedOn w:val="DefaultParagraphFont"/>
    <w:rsid w:val="00C04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B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BA29-518D-41B8-8B56-AE170BE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4971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Lange</dc:creator>
  <cp:keywords/>
  <dc:description/>
  <cp:lastModifiedBy>Astra Bērziņa</cp:lastModifiedBy>
  <cp:revision>2</cp:revision>
  <dcterms:created xsi:type="dcterms:W3CDTF">2024-07-30T07:41:00Z</dcterms:created>
  <dcterms:modified xsi:type="dcterms:W3CDTF">2024-07-30T07:41:00Z</dcterms:modified>
</cp:coreProperties>
</file>